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2">
      <w:pPr>
        <w:spacing w:line="276" w:lineRule="auto"/>
        <w:jc w:val="center"/>
        <w:rPr>
          <w:rFonts w:ascii="Arial" w:cs="Arial" w:eastAsia="Arial" w:hAnsi="Arial"/>
          <w:sz w:val="28"/>
          <w:szCs w:val="28"/>
        </w:rPr>
      </w:pPr>
      <w:r w:rsidDel="00000000" w:rsidR="00000000" w:rsidRPr="00000000">
        <w:rPr>
          <w:rFonts w:ascii="Arial" w:cs="Arial" w:eastAsia="Arial" w:hAnsi="Arial"/>
          <w:sz w:val="24"/>
          <w:szCs w:val="24"/>
        </w:rPr>
        <w:drawing>
          <wp:anchor allowOverlap="1" behindDoc="0" distB="0" distT="0" distL="114300" distR="114300" hidden="0" layoutInCell="1" locked="0" relativeHeight="0" simplePos="0">
            <wp:simplePos x="0" y="0"/>
            <wp:positionH relativeFrom="margin">
              <wp:posOffset>1822450</wp:posOffset>
            </wp:positionH>
            <wp:positionV relativeFrom="margin">
              <wp:posOffset>-368294</wp:posOffset>
            </wp:positionV>
            <wp:extent cx="2118995" cy="55245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8"/>
                    <a:srcRect b="19454" l="0" r="0" t="23935"/>
                    <a:stretch>
                      <a:fillRect/>
                    </a:stretch>
                  </pic:blipFill>
                  <pic:spPr>
                    <a:xfrm>
                      <a:off x="0" y="0"/>
                      <a:ext cx="2118995" cy="552450"/>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Arial" w:cs="Arial" w:eastAsia="Arial" w:hAnsi="Arial"/>
          <w:b w:val="1"/>
          <w:sz w:val="28"/>
          <w:szCs w:val="28"/>
          <w:rtl w:val="0"/>
        </w:rPr>
        <w:t xml:space="preserve">Estratégias nutricionais associadas ao tratamento farmacológico na Síndrome dos Ovários Policísticos</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spacing w:line="276" w:lineRule="auto"/>
        <w:jc w:val="righ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spacing w:after="0" w:line="240" w:lineRule="auto"/>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Aiã Luís Araújo Santos</w:t>
      </w:r>
      <w:r w:rsidDel="00000000" w:rsidR="00000000" w:rsidRPr="00000000">
        <w:rPr>
          <w:rFonts w:ascii="Arial" w:cs="Arial" w:eastAsia="Arial" w:hAnsi="Arial"/>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0" w:line="240" w:lineRule="auto"/>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Ana Victoria Brito da Silva</w:t>
      </w:r>
      <w:r w:rsidDel="00000000" w:rsidR="00000000" w:rsidRPr="00000000">
        <w:rPr>
          <w:rFonts w:ascii="Arial" w:cs="Arial" w:eastAsia="Arial" w:hAnsi="Arial"/>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7">
      <w:pPr>
        <w:spacing w:after="0" w:line="240" w:lineRule="auto"/>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Dandara Santos Tavares</w:t>
      </w:r>
      <w:r w:rsidDel="00000000" w:rsidR="00000000" w:rsidRPr="00000000">
        <w:rPr>
          <w:rFonts w:ascii="Arial" w:cs="Arial" w:eastAsia="Arial" w:hAnsi="Arial"/>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8">
      <w:pPr>
        <w:spacing w:after="0" w:line="240" w:lineRule="auto"/>
        <w:jc w:val="right"/>
        <w:rPr>
          <w:rFonts w:ascii="Arial" w:cs="Arial" w:eastAsia="Arial" w:hAnsi="Arial"/>
          <w:sz w:val="24"/>
          <w:szCs w:val="24"/>
        </w:rPr>
      </w:pPr>
      <w:r w:rsidDel="00000000" w:rsidR="00000000" w:rsidRPr="00000000">
        <w:rPr>
          <w:rFonts w:ascii="Arial" w:cs="Arial" w:eastAsia="Arial" w:hAnsi="Arial"/>
          <w:sz w:val="24"/>
          <w:szCs w:val="24"/>
          <w:rtl w:val="0"/>
        </w:rPr>
        <w:t xml:space="preserve">Lariza Karen Santos Lima</w:t>
      </w:r>
      <w:r w:rsidDel="00000000" w:rsidR="00000000" w:rsidRPr="00000000">
        <w:rPr>
          <w:rFonts w:ascii="Arial" w:cs="Arial" w:eastAsia="Arial" w:hAnsi="Arial"/>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09">
      <w:pPr>
        <w:spacing w:after="0" w:line="240" w:lineRule="auto"/>
        <w:jc w:val="right"/>
        <w:rPr>
          <w:rFonts w:ascii="Arial" w:cs="Arial" w:eastAsia="Arial" w:hAnsi="Arial"/>
          <w:sz w:val="24"/>
          <w:szCs w:val="24"/>
          <w:vertAlign w:val="superscript"/>
        </w:rPr>
      </w:pPr>
      <w:r w:rsidDel="00000000" w:rsidR="00000000" w:rsidRPr="00000000">
        <w:rPr>
          <w:rFonts w:ascii="Arial" w:cs="Arial" w:eastAsia="Arial" w:hAnsi="Arial"/>
          <w:sz w:val="24"/>
          <w:szCs w:val="24"/>
          <w:rtl w:val="0"/>
        </w:rPr>
        <w:t xml:space="preserve">Vitória Gabrielle da Silva Santos</w:t>
      </w:r>
      <w:r w:rsidDel="00000000" w:rsidR="00000000" w:rsidRPr="00000000">
        <w:rPr>
          <w:rFonts w:ascii="Arial" w:cs="Arial" w:eastAsia="Arial" w:hAnsi="Arial"/>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0A">
      <w:pPr>
        <w:spacing w:after="0" w:line="240" w:lineRule="auto"/>
        <w:jc w:val="right"/>
        <w:rPr>
          <w:rFonts w:ascii="Arial" w:cs="Arial" w:eastAsia="Arial" w:hAnsi="Arial"/>
          <w:sz w:val="24"/>
          <w:szCs w:val="24"/>
          <w:vertAlign w:val="superscript"/>
        </w:rPr>
      </w:pPr>
      <w:r w:rsidDel="00000000" w:rsidR="00000000" w:rsidRPr="00000000">
        <w:rPr>
          <w:rFonts w:ascii="Arial" w:cs="Arial" w:eastAsia="Arial" w:hAnsi="Arial"/>
          <w:sz w:val="24"/>
          <w:szCs w:val="24"/>
          <w:rtl w:val="0"/>
        </w:rPr>
        <w:t xml:space="preserve">Jarlon Conceição da Costa</w:t>
      </w:r>
      <w:r w:rsidDel="00000000" w:rsidR="00000000" w:rsidRPr="00000000">
        <w:rPr>
          <w:rFonts w:ascii="Arial" w:cs="Arial" w:eastAsia="Arial" w:hAnsi="Arial"/>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spacing w:after="12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RESUMO</w:t>
      </w:r>
    </w:p>
    <w:p w:rsidR="00000000" w:rsidDel="00000000" w:rsidP="00000000" w:rsidRDefault="00000000" w:rsidRPr="00000000" w14:paraId="0000000E">
      <w:pPr>
        <w:spacing w:after="12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Introdução: </w:t>
      </w:r>
      <w:r w:rsidDel="00000000" w:rsidR="00000000" w:rsidRPr="00000000">
        <w:rPr>
          <w:rFonts w:ascii="Arial" w:cs="Arial" w:eastAsia="Arial" w:hAnsi="Arial"/>
          <w:sz w:val="24"/>
          <w:szCs w:val="24"/>
          <w:rtl w:val="0"/>
        </w:rPr>
        <w:t xml:space="preserve">A Síndrome dos Ovário Policístico (SOP) é um distúrbio endócrino-metabólico comum em mulheres na fase reprodutiva, visto que suas alterações metabólicas e hormonais proporcionam risco aumentado para outras doenças. </w:t>
      </w: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O presente artigo visa descrever a importância da implementação de tratamentos não-farmacológicos associados ao tratamento medicamentoso em mulheres com Síndrome dos Ovários Policísticos (SOP). </w:t>
      </w:r>
      <w:r w:rsidDel="00000000" w:rsidR="00000000" w:rsidRPr="00000000">
        <w:rPr>
          <w:rFonts w:ascii="Arial" w:cs="Arial" w:eastAsia="Arial" w:hAnsi="Arial"/>
          <w:b w:val="1"/>
          <w:sz w:val="24"/>
          <w:szCs w:val="24"/>
          <w:rtl w:val="0"/>
        </w:rPr>
        <w:t xml:space="preserve">Metodologia:</w:t>
      </w:r>
      <w:r w:rsidDel="00000000" w:rsidR="00000000" w:rsidRPr="00000000">
        <w:rPr>
          <w:rFonts w:ascii="Arial" w:cs="Arial" w:eastAsia="Arial" w:hAnsi="Arial"/>
          <w:sz w:val="24"/>
          <w:szCs w:val="24"/>
          <w:rtl w:val="0"/>
        </w:rPr>
        <w:t xml:space="preserve"> Para a implementação dos artigos, foi realizada uma busca nas principais bases de dados, dentre elas a plataforma Pubmed, Biblioteca Virtual de Saúde (BVS) e Scielo. Também foi utilizado a estratégia de busca avançada, utilizando o operador booleano </w:t>
      </w:r>
      <w:r w:rsidDel="00000000" w:rsidR="00000000" w:rsidRPr="00000000">
        <w:rPr>
          <w:rFonts w:ascii="Arial" w:cs="Arial" w:eastAsia="Arial" w:hAnsi="Arial"/>
          <w:i w:val="1"/>
          <w:sz w:val="24"/>
          <w:szCs w:val="24"/>
          <w:rtl w:val="0"/>
        </w:rPr>
        <w:t xml:space="preserve">AND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Resultados e Discussão: </w:t>
      </w:r>
      <w:r w:rsidDel="00000000" w:rsidR="00000000" w:rsidRPr="00000000">
        <w:rPr>
          <w:rFonts w:ascii="Arial" w:cs="Arial" w:eastAsia="Arial" w:hAnsi="Arial"/>
          <w:sz w:val="24"/>
          <w:szCs w:val="24"/>
          <w:rtl w:val="0"/>
        </w:rPr>
        <w:t xml:space="preserve">O tratamento da SOP consiste no controle dos sintomas apresentados, proporcionando condutas terapêuticas distintas conforme cada quadro, é notório que existem diversas barreiras no  gerenciamento do estilo de vida em mulheres com SOP, reforçando a necessidade de uma terapêutica interdisciplinar. </w:t>
      </w:r>
      <w:r w:rsidDel="00000000" w:rsidR="00000000" w:rsidRPr="00000000">
        <w:rPr>
          <w:rFonts w:ascii="Arial" w:cs="Arial" w:eastAsia="Arial" w:hAnsi="Arial"/>
          <w:b w:val="1"/>
          <w:sz w:val="24"/>
          <w:szCs w:val="24"/>
          <w:rtl w:val="0"/>
        </w:rPr>
        <w:t xml:space="preserve">Conclusão: </w:t>
      </w:r>
      <w:r w:rsidDel="00000000" w:rsidR="00000000" w:rsidRPr="00000000">
        <w:rPr>
          <w:rFonts w:ascii="Arial" w:cs="Arial" w:eastAsia="Arial" w:hAnsi="Arial"/>
          <w:sz w:val="24"/>
          <w:szCs w:val="24"/>
          <w:rtl w:val="0"/>
        </w:rPr>
        <w:t xml:space="preserve">Assim, as intervenções no estilo de vida e adoção de hábitos mais saudáveis constituem a primeira linha de tratamentos e devem ser associadas medidas farmacológicas conforme a necessidade de cada paciente.</w:t>
      </w:r>
    </w:p>
    <w:p w:rsidR="00000000" w:rsidDel="00000000" w:rsidP="00000000" w:rsidRDefault="00000000" w:rsidRPr="00000000" w14:paraId="0000000F">
      <w:pPr>
        <w:spacing w:after="12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Palavras-chave</w:t>
      </w:r>
      <w:r w:rsidDel="00000000" w:rsidR="00000000" w:rsidRPr="00000000">
        <w:rPr>
          <w:rFonts w:ascii="Arial" w:cs="Arial" w:eastAsia="Arial" w:hAnsi="Arial"/>
          <w:sz w:val="24"/>
          <w:szCs w:val="24"/>
          <w:rtl w:val="0"/>
        </w:rPr>
        <w:t xml:space="preserve">: Síndrome dos Ovários Policísticos; Mulheres; Sintomas; Tratamentos.</w:t>
      </w:r>
    </w:p>
    <w:p w:rsidR="00000000" w:rsidDel="00000000" w:rsidP="00000000" w:rsidRDefault="00000000" w:rsidRPr="00000000" w14:paraId="00000010">
      <w:pPr>
        <w:spacing w:after="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spacing w:after="12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ABSTRACT</w:t>
      </w:r>
    </w:p>
    <w:p w:rsidR="00000000" w:rsidDel="00000000" w:rsidP="00000000" w:rsidRDefault="00000000" w:rsidRPr="00000000" w14:paraId="00000012">
      <w:pPr>
        <w:spacing w:after="12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Introduction:</w:t>
      </w:r>
      <w:r w:rsidDel="00000000" w:rsidR="00000000" w:rsidRPr="00000000">
        <w:rPr>
          <w:rFonts w:ascii="Arial" w:cs="Arial" w:eastAsia="Arial" w:hAnsi="Arial"/>
          <w:sz w:val="24"/>
          <w:szCs w:val="24"/>
          <w:rtl w:val="0"/>
        </w:rPr>
        <w:t xml:space="preserve"> Polycystic Ovary Syndrome (PCOS) is a common endocrine-metabolic disorder in women of reproductive age, as its metabolic and hormonal changes increase the risk for other diseases. </w:t>
      </w:r>
      <w:r w:rsidDel="00000000" w:rsidR="00000000" w:rsidRPr="00000000">
        <w:rPr>
          <w:rFonts w:ascii="Arial" w:cs="Arial" w:eastAsia="Arial" w:hAnsi="Arial"/>
          <w:b w:val="1"/>
          <w:sz w:val="24"/>
          <w:szCs w:val="24"/>
          <w:rtl w:val="0"/>
        </w:rPr>
        <w:t xml:space="preserve">Objective</w:t>
      </w:r>
      <w:r w:rsidDel="00000000" w:rsidR="00000000" w:rsidRPr="00000000">
        <w:rPr>
          <w:rFonts w:ascii="Arial" w:cs="Arial" w:eastAsia="Arial" w:hAnsi="Arial"/>
          <w:sz w:val="24"/>
          <w:szCs w:val="24"/>
          <w:rtl w:val="0"/>
        </w:rPr>
        <w:t xml:space="preserve">: The present article aims to describe the importance of implementing non-pharmacological treatments in conjunction with medication for women with Polycystic Ovary Syndrome (PCOS). </w:t>
      </w:r>
      <w:r w:rsidDel="00000000" w:rsidR="00000000" w:rsidRPr="00000000">
        <w:rPr>
          <w:rFonts w:ascii="Arial" w:cs="Arial" w:eastAsia="Arial" w:hAnsi="Arial"/>
          <w:b w:val="1"/>
          <w:sz w:val="24"/>
          <w:szCs w:val="24"/>
          <w:rtl w:val="0"/>
        </w:rPr>
        <w:t xml:space="preserve">Methodology</w:t>
      </w:r>
      <w:r w:rsidDel="00000000" w:rsidR="00000000" w:rsidRPr="00000000">
        <w:rPr>
          <w:rFonts w:ascii="Arial" w:cs="Arial" w:eastAsia="Arial" w:hAnsi="Arial"/>
          <w:sz w:val="24"/>
          <w:szCs w:val="24"/>
          <w:rtl w:val="0"/>
        </w:rPr>
        <w:t xml:space="preserve">: A search was conducted in major databases, including PubMed, Virtual Health Library (BVS), and SciELO. The advanced search strategy was used, utilizing the boolean operator AND. </w:t>
      </w:r>
      <w:r w:rsidDel="00000000" w:rsidR="00000000" w:rsidRPr="00000000">
        <w:rPr>
          <w:rFonts w:ascii="Arial" w:cs="Arial" w:eastAsia="Arial" w:hAnsi="Arial"/>
          <w:b w:val="1"/>
          <w:sz w:val="24"/>
          <w:szCs w:val="24"/>
          <w:rtl w:val="0"/>
        </w:rPr>
        <w:t xml:space="preserve">Results and Discussion:</w:t>
      </w:r>
      <w:r w:rsidDel="00000000" w:rsidR="00000000" w:rsidRPr="00000000">
        <w:rPr>
          <w:rFonts w:ascii="Arial" w:cs="Arial" w:eastAsia="Arial" w:hAnsi="Arial"/>
          <w:sz w:val="24"/>
          <w:szCs w:val="24"/>
          <w:rtl w:val="0"/>
        </w:rPr>
        <w:t xml:space="preserve"> The treatment of PCOS involves controlling the presented symptoms, providing different therapeutic approaches according to each case. It is evident that there are various barriers to lifestyle management in women with PCOS, highlighting the need for interdisciplinary therapy. </w:t>
      </w:r>
      <w:r w:rsidDel="00000000" w:rsidR="00000000" w:rsidRPr="00000000">
        <w:rPr>
          <w:rFonts w:ascii="Arial" w:cs="Arial" w:eastAsia="Arial" w:hAnsi="Arial"/>
          <w:b w:val="1"/>
          <w:sz w:val="24"/>
          <w:szCs w:val="24"/>
          <w:rtl w:val="0"/>
        </w:rPr>
        <w:t xml:space="preserve">Conclusion:</w:t>
      </w:r>
      <w:r w:rsidDel="00000000" w:rsidR="00000000" w:rsidRPr="00000000">
        <w:rPr>
          <w:rFonts w:ascii="Arial" w:cs="Arial" w:eastAsia="Arial" w:hAnsi="Arial"/>
          <w:sz w:val="24"/>
          <w:szCs w:val="24"/>
          <w:rtl w:val="0"/>
        </w:rPr>
        <w:t xml:space="preserve"> Thus, lifestyle interventions and the adoption of healthier habits constitute the first line of treatment and should be combined with pharmacological measures as needed for each patient.</w:t>
      </w:r>
    </w:p>
    <w:p w:rsidR="00000000" w:rsidDel="00000000" w:rsidP="00000000" w:rsidRDefault="00000000" w:rsidRPr="00000000" w14:paraId="00000013">
      <w:pPr>
        <w:spacing w:after="120" w:line="24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Keywords: </w:t>
      </w:r>
      <w:r w:rsidDel="00000000" w:rsidR="00000000" w:rsidRPr="00000000">
        <w:rPr>
          <w:rFonts w:ascii="Arial" w:cs="Arial" w:eastAsia="Arial" w:hAnsi="Arial"/>
          <w:sz w:val="24"/>
          <w:szCs w:val="24"/>
          <w:rtl w:val="0"/>
        </w:rPr>
        <w:t xml:space="preserve">Polycystic Ovary Syndrome; Women; Symptoms; Treatments.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pStyle w:val="Heading1"/>
        <w:numPr>
          <w:ilvl w:val="0"/>
          <w:numId w:val="1"/>
        </w:numPr>
        <w:tabs>
          <w:tab w:val="left" w:leader="none" w:pos="284"/>
        </w:tabs>
        <w:ind w:left="0" w:firstLine="0"/>
        <w:rPr/>
      </w:pPr>
      <w:bookmarkStart w:colFirst="0" w:colLast="0" w:name="_heading=h.30j0zll" w:id="1"/>
      <w:bookmarkEnd w:id="1"/>
      <w:r w:rsidDel="00000000" w:rsidR="00000000" w:rsidRPr="00000000">
        <w:rPr>
          <w:rtl w:val="0"/>
        </w:rPr>
        <w:t xml:space="preserve">INTRODUÇÃO</w:t>
      </w:r>
    </w:p>
    <w:p w:rsidR="00000000" w:rsidDel="00000000" w:rsidP="00000000" w:rsidRDefault="00000000" w:rsidRPr="00000000" w14:paraId="00000016">
      <w:pPr>
        <w:spacing w:line="36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Síndrome dos Ovário Policístico (SOP) é um distúrbio endócrino-metabólico comum em mulheres na fase reprodutiva, visto que suas alterações e desordens metabólicas e hormonais que proporciona risco aumentado para doenças, como a obesidade, resistência insulínica, diabetes tipo 2, dislipidemias e doenças cardiovasculares (Sidra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2019). Os sintomas estão relacionados à anovulação crônica que constitui um dos critérios de diagnóstico da doença, as mulheres que apresentam distúrbio menstrual e hiperandrogenismo de forma simultânea, pós-puberdade, tem a probabilidade maior de possuir SOP (Brasil, 2019).</w:t>
      </w:r>
    </w:p>
    <w:p w:rsidR="00000000" w:rsidDel="00000000" w:rsidP="00000000" w:rsidRDefault="00000000" w:rsidRPr="00000000" w14:paraId="00000018">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 manifestações clínicas apresentadas pelo aumento dos níveis de hormônios masculinos na mulher (hiperandrogenismo) causam além do hirsutismo, uma maior produção de oleosidade cutânea, aparecimento de acne, queda exacerbada de cabelo, podendo em casos mais agravados chegar a alopecia hiperandrogênica, manifestações de virilização e clitoromegalia (Rosa-e-Silva; Damásio, 2023). </w:t>
      </w:r>
    </w:p>
    <w:p w:rsidR="00000000" w:rsidDel="00000000" w:rsidP="00000000" w:rsidRDefault="00000000" w:rsidRPr="00000000" w14:paraId="00000019">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Em casos em que a paciente encontra-se dentro do peso adequado o tratamento consiste em modificações no estilo de vida associadas à terapia medicamentosa para a regularização dos ciclos menstruais, distúrbios metabólicos e sinais de</w:t>
      </w:r>
      <w:r w:rsidDel="00000000" w:rsidR="00000000" w:rsidRPr="00000000">
        <w:rPr>
          <w:rFonts w:ascii="Arial" w:cs="Arial" w:eastAsia="Arial" w:hAnsi="Arial"/>
          <w:sz w:val="24"/>
          <w:szCs w:val="24"/>
          <w:highlight w:val="white"/>
          <w:rtl w:val="0"/>
        </w:rPr>
        <w:t xml:space="preserve"> hiperandrogenismo</w:t>
      </w:r>
      <w:r w:rsidDel="00000000" w:rsidR="00000000" w:rsidRPr="00000000">
        <w:rPr>
          <w:rFonts w:ascii="Arial" w:cs="Arial" w:eastAsia="Arial" w:hAnsi="Arial"/>
          <w:sz w:val="24"/>
          <w:szCs w:val="24"/>
          <w:rtl w:val="0"/>
        </w:rPr>
        <w:t xml:space="preserve"> (Catrinque, 2019; </w:t>
      </w:r>
      <w:r w:rsidDel="00000000" w:rsidR="00000000" w:rsidRPr="00000000">
        <w:rPr>
          <w:rFonts w:ascii="Arial" w:cs="Arial" w:eastAsia="Arial" w:hAnsi="Arial"/>
          <w:sz w:val="24"/>
          <w:szCs w:val="24"/>
          <w:highlight w:val="white"/>
          <w:rtl w:val="0"/>
        </w:rPr>
        <w:t xml:space="preserve">Dabadghao, 2019</w:t>
      </w:r>
      <w:r w:rsidDel="00000000" w:rsidR="00000000" w:rsidRPr="00000000">
        <w:rPr>
          <w:rFonts w:ascii="Arial" w:cs="Arial" w:eastAsia="Arial" w:hAnsi="Arial"/>
          <w:sz w:val="24"/>
          <w:szCs w:val="24"/>
          <w:rtl w:val="0"/>
        </w:rPr>
        <w:t xml:space="preserve">). O tratamento farmacológico consiste no uso combinado de contraceptivos orais e metformina, objetivando a diminuição da gliconeogênese hepática e aumento da sensibilidade à insulina, o uso desses fármacos associados aos </w:t>
      </w:r>
      <w:r w:rsidDel="00000000" w:rsidR="00000000" w:rsidRPr="00000000">
        <w:rPr>
          <w:rFonts w:ascii="Arial" w:cs="Arial" w:eastAsia="Arial" w:hAnsi="Arial"/>
          <w:sz w:val="24"/>
          <w:szCs w:val="24"/>
          <w:highlight w:val="white"/>
          <w:rtl w:val="0"/>
        </w:rPr>
        <w:t xml:space="preserve">antiandrogênios como 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highlight w:val="white"/>
          <w:rtl w:val="0"/>
        </w:rPr>
        <w:t xml:space="preserve">espironolactona e flutamida aumenta a eficácia do tratamento (Dabadghao, 2019; Yela, 2023)</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A">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Mesmo com as medidas farmacológicas, as intervenções relacionadas ao estilo de vida são consideradas tratamento de primeira linha, entretanto devido às barreiras e aos desafios associados a uma mudança de estilo de vida, às pacientes portadoras de SOP necessitam de motivação para adotar hábitos mais saudáveis. Dito isso, os profissionais de saúde precisam estar capacitados para melhorar a assistência e garantir qualidade nos atendimentos às pacientes, utilizando estratégias comportamentais que visem gerar uma motivação intrínseca (Ee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2021).</w:t>
      </w:r>
    </w:p>
    <w:p w:rsidR="00000000" w:rsidDel="00000000" w:rsidP="00000000" w:rsidRDefault="00000000" w:rsidRPr="00000000" w14:paraId="0000001B">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identificação da síndrome e dos fatores de risco podem ser identificados pelos profissionais de saúde ainda na Atenção Básica em estágio inicial através da realização do exame físico e coleta de dados, identificando sintomas e sinais necessários para o diagnóstico e um encaminhamento adequado para um atendimento especializado e tratamento dos distúrbios metabólicos que prejudicam a qualidade de vida da paciente (Catrinque, 2019; Brasil, 2020).</w:t>
      </w:r>
    </w:p>
    <w:p w:rsidR="00000000" w:rsidDel="00000000" w:rsidP="00000000" w:rsidRDefault="00000000" w:rsidRPr="00000000" w14:paraId="0000001C">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SOP é um distúrbio complexo, multifatorial e genético. Dito isso, é de suma importância para as pacientes com o diagnóstico de SOP a presença de uma equipe multidisciplinar de saúde para uma abordagem mais ampla no tratamento, visando uma assistência de qualidade, cuidado e atenção individual, planejamento alimentar e tratamento farmacológico, em conjunto. Além disso, trabalhos de educação e promoção da saúde possuem um papel fundamental na estimulação de rodas conversas que visem esclarecer dúvidas e evitar um diagnóstico tardio da doença (Coelho; Rodrigues; Silva, 2019).</w:t>
      </w:r>
    </w:p>
    <w:p w:rsidR="00000000" w:rsidDel="00000000" w:rsidP="00000000" w:rsidRDefault="00000000" w:rsidRPr="00000000" w14:paraId="0000001D">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Diante do exposto, como uma equipe interprofissional pode utilizar de estratégias nutricionais e farmacológicas no tratamento da SOP? Assim, o presente artigo visa descrever a importância da implementação de tratamentos não farmacológicos associados ao tratamento medicamentoso em mulheres com SOP.</w:t>
      </w:r>
    </w:p>
    <w:p w:rsidR="00000000" w:rsidDel="00000000" w:rsidP="00000000" w:rsidRDefault="00000000" w:rsidRPr="00000000" w14:paraId="0000001E">
      <w:pPr>
        <w:spacing w:after="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pStyle w:val="Heading1"/>
        <w:numPr>
          <w:ilvl w:val="0"/>
          <w:numId w:val="1"/>
        </w:numPr>
        <w:tabs>
          <w:tab w:val="left" w:leader="none" w:pos="284"/>
        </w:tabs>
        <w:ind w:left="0" w:firstLine="0"/>
        <w:rPr/>
      </w:pPr>
      <w:bookmarkStart w:colFirst="0" w:colLast="0" w:name="_heading=h.1fob9te" w:id="2"/>
      <w:bookmarkEnd w:id="2"/>
      <w:r w:rsidDel="00000000" w:rsidR="00000000" w:rsidRPr="00000000">
        <w:rPr>
          <w:rtl w:val="0"/>
        </w:rPr>
        <w:t xml:space="preserve"> METODOLOGIA</w:t>
      </w:r>
    </w:p>
    <w:p w:rsidR="00000000" w:rsidDel="00000000" w:rsidP="00000000" w:rsidRDefault="00000000" w:rsidRPr="00000000" w14:paraId="00000020">
      <w:pPr>
        <w:spacing w:after="240" w:before="24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Trata - se de um artigo de revisão bibliográfica, definido por ser um método utilizado para análise de estudos disponíveis em bases de dados com o objetivo de análise para suplementação de ideias e temas abordados no artigo (Mendes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2008).  </w:t>
      </w:r>
    </w:p>
    <w:p w:rsidR="00000000" w:rsidDel="00000000" w:rsidP="00000000" w:rsidRDefault="00000000" w:rsidRPr="00000000" w14:paraId="00000021">
      <w:pPr>
        <w:spacing w:after="0" w:line="360" w:lineRule="auto"/>
        <w:ind w:firstLine="708"/>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Para a implementação dos artigos, foi realizada uma busca nas principais bases de dados, dentre elas a plataforma Pubmed, Biblioteca Virtual de Saúde (BVS) e </w:t>
      </w:r>
      <w:r w:rsidDel="00000000" w:rsidR="00000000" w:rsidRPr="00000000">
        <w:rPr>
          <w:rFonts w:ascii="Arial" w:cs="Arial" w:eastAsia="Arial" w:hAnsi="Arial"/>
          <w:i w:val="1"/>
          <w:sz w:val="24"/>
          <w:szCs w:val="24"/>
          <w:rtl w:val="0"/>
        </w:rPr>
        <w:t xml:space="preserve">Scielo</w:t>
      </w:r>
      <w:r w:rsidDel="00000000" w:rsidR="00000000" w:rsidRPr="00000000">
        <w:rPr>
          <w:rFonts w:ascii="Arial" w:cs="Arial" w:eastAsia="Arial" w:hAnsi="Arial"/>
          <w:sz w:val="24"/>
          <w:szCs w:val="24"/>
          <w:rtl w:val="0"/>
        </w:rPr>
        <w:t xml:space="preserve">, sendo os descritores: Síndrome dos Ovários Policísticos, Nutrição, Medicamento e Tratamento. Também foi utilizado a estratégia de busca avançada, utilizando o operador booleano </w:t>
      </w:r>
      <w:r w:rsidDel="00000000" w:rsidR="00000000" w:rsidRPr="00000000">
        <w:rPr>
          <w:rFonts w:ascii="Arial" w:cs="Arial" w:eastAsia="Arial" w:hAnsi="Arial"/>
          <w:i w:val="1"/>
          <w:sz w:val="24"/>
          <w:szCs w:val="24"/>
          <w:rtl w:val="0"/>
        </w:rPr>
        <w:t xml:space="preserve">AND.</w:t>
      </w:r>
    </w:p>
    <w:p w:rsidR="00000000" w:rsidDel="00000000" w:rsidP="00000000" w:rsidRDefault="00000000" w:rsidRPr="00000000" w14:paraId="00000022">
      <w:pPr>
        <w:spacing w:after="0" w:line="360" w:lineRule="auto"/>
        <w:ind w:firstLine="708"/>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Foram encontrados 43 artigos com os descritores, posteriormente, selecionou-se 10 artigos relevantes, catalogados nos últimos 5 anos, dentre o período de 2019 até 2024, sendo artigos na língua portuguesa, disponíveis de forma gratuita pela plataforma.  Os 10 artigos pesquisados trouxeram como foco as metas análises, ensaios clínicos randomizados e revisões de literatura. E será a partir desses determinados estudos que iremos levantar estratégias multidisciplinares. </w:t>
      </w:r>
      <w:r w:rsidDel="00000000" w:rsidR="00000000" w:rsidRPr="00000000">
        <w:rPr>
          <w:rtl w:val="0"/>
        </w:rPr>
      </w:r>
    </w:p>
    <w:p w:rsidR="00000000" w:rsidDel="00000000" w:rsidP="00000000" w:rsidRDefault="00000000" w:rsidRPr="00000000" w14:paraId="00000023">
      <w:pPr>
        <w:spacing w:after="0" w:line="36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pStyle w:val="Heading1"/>
        <w:numPr>
          <w:ilvl w:val="0"/>
          <w:numId w:val="1"/>
        </w:numPr>
        <w:tabs>
          <w:tab w:val="left" w:leader="none" w:pos="284"/>
        </w:tabs>
        <w:ind w:left="0" w:firstLine="0"/>
        <w:rPr/>
      </w:pPr>
      <w:r w:rsidDel="00000000" w:rsidR="00000000" w:rsidRPr="00000000">
        <w:rPr>
          <w:rtl w:val="0"/>
        </w:rPr>
        <w:t xml:space="preserve">RESULTADOS E DISCUSSÃO</w:t>
      </w:r>
    </w:p>
    <w:p w:rsidR="00000000" w:rsidDel="00000000" w:rsidP="00000000" w:rsidRDefault="00000000" w:rsidRPr="00000000" w14:paraId="00000025">
      <w:pPr>
        <w:spacing w:after="0" w:line="360" w:lineRule="auto"/>
        <w:ind w:firstLine="851"/>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after="0" w:line="360"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Conforme o quadro 1, que aborda os estudos incluídos nesta revisão integrativa, sobre Estratégias nutricionais associadas ao tratamento farmacológico na Síndrome dos Ovários Policísticos (SOP).</w:t>
      </w:r>
    </w:p>
    <w:p w:rsidR="00000000" w:rsidDel="00000000" w:rsidP="00000000" w:rsidRDefault="00000000" w:rsidRPr="00000000" w14:paraId="00000027">
      <w:pPr>
        <w:spacing w:after="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pacing w:after="0"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Quadro 1.</w:t>
      </w:r>
      <w:r w:rsidDel="00000000" w:rsidR="00000000" w:rsidRPr="00000000">
        <w:rPr>
          <w:rFonts w:ascii="Arial" w:cs="Arial" w:eastAsia="Arial" w:hAnsi="Arial"/>
          <w:sz w:val="24"/>
          <w:szCs w:val="24"/>
          <w:rtl w:val="0"/>
        </w:rPr>
        <w:t xml:space="preserve"> Quadro-síntese das características dos estudos incluídos na revisão integrativa. Salvador, BA, 2024.</w:t>
      </w:r>
    </w:p>
    <w:p w:rsidR="00000000" w:rsidDel="00000000" w:rsidP="00000000" w:rsidRDefault="00000000" w:rsidRPr="00000000" w14:paraId="00000029">
      <w:pPr>
        <w:spacing w:after="0" w:line="360" w:lineRule="auto"/>
        <w:ind w:firstLine="851"/>
        <w:jc w:val="both"/>
        <w:rPr>
          <w:rFonts w:ascii="Arial" w:cs="Arial" w:eastAsia="Arial" w:hAnsi="Arial"/>
          <w:sz w:val="24"/>
          <w:szCs w:val="24"/>
        </w:rPr>
      </w:pPr>
      <w:r w:rsidDel="00000000" w:rsidR="00000000" w:rsidRPr="00000000">
        <w:rPr>
          <w:rtl w:val="0"/>
        </w:rPr>
      </w:r>
    </w:p>
    <w:tbl>
      <w:tblPr>
        <w:tblStyle w:val="Table1"/>
        <w:tblW w:w="9645.0" w:type="dxa"/>
        <w:jc w:val="left"/>
        <w:tblInd w:w="20.0" w:type="dxa"/>
        <w:tblLayout w:type="fixed"/>
        <w:tblLook w:val="0000"/>
      </w:tblPr>
      <w:tblGrid>
        <w:gridCol w:w="1875"/>
        <w:gridCol w:w="2944"/>
        <w:gridCol w:w="1931"/>
        <w:gridCol w:w="2895"/>
        <w:tblGridChange w:id="0">
          <w:tblGrid>
            <w:gridCol w:w="1875"/>
            <w:gridCol w:w="2944"/>
            <w:gridCol w:w="1931"/>
            <w:gridCol w:w="289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A">
            <w:pPr>
              <w:widowControl w:val="0"/>
              <w:spacing w:after="0"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Autor e ano de publicação</w:t>
            </w:r>
          </w:p>
          <w:p w:rsidR="00000000" w:rsidDel="00000000" w:rsidP="00000000" w:rsidRDefault="00000000" w:rsidRPr="00000000" w14:paraId="0000002B">
            <w:pPr>
              <w:widowControl w:val="0"/>
              <w:spacing w:after="0" w:line="360" w:lineRule="auto"/>
              <w:jc w:val="center"/>
              <w:rPr>
                <w:rFonts w:ascii="Arial" w:cs="Arial" w:eastAsia="Arial" w:hAnsi="Arial"/>
                <w:b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C">
            <w:pPr>
              <w:widowControl w:val="0"/>
              <w:spacing w:after="0"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Objetivo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D">
            <w:pPr>
              <w:widowControl w:val="0"/>
              <w:spacing w:after="0"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Tipo de estudo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E">
            <w:pPr>
              <w:widowControl w:val="0"/>
              <w:spacing w:after="0"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Resultados</w:t>
            </w:r>
          </w:p>
        </w:tc>
      </w:tr>
      <w:tr>
        <w:trPr>
          <w:cantSplit w:val="0"/>
          <w:trHeight w:val="12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Benetti-Pinto (2018)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Abordar sobre Tratamento das manifestações androgênicas, dentro da SOP, citando as características, tratamentos e medidas que devem ser atendidas. </w:t>
            </w:r>
          </w:p>
          <w:p w:rsidR="00000000" w:rsidDel="00000000" w:rsidP="00000000" w:rsidRDefault="00000000" w:rsidRPr="00000000" w14:paraId="00000031">
            <w:pPr>
              <w:widowControl w:val="0"/>
              <w:spacing w:after="0" w:line="360" w:lineRule="auto"/>
              <w:jc w:val="both"/>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Descritivo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hirsutismo está presente em 70% a 80% das mulheres com SOP. Requer tratamento prolongado e baseado principalmente no uso de contraceptivos combinados e drogas antiandrogênicas.</w:t>
            </w:r>
          </w:p>
          <w:p w:rsidR="00000000" w:rsidDel="00000000" w:rsidP="00000000" w:rsidRDefault="00000000" w:rsidRPr="00000000" w14:paraId="00000034">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 mudança de estilo de vida. </w:t>
            </w:r>
          </w:p>
          <w:p w:rsidR="00000000" w:rsidDel="00000000" w:rsidP="00000000" w:rsidRDefault="00000000" w:rsidRPr="00000000" w14:paraId="00000035">
            <w:pPr>
              <w:widowControl w:val="0"/>
              <w:spacing w:after="0" w:line="360" w:lineRule="auto"/>
              <w:jc w:val="both"/>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Catrinque (2019)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Evidenciar a importância da abordagem multiprofissional na assistência às mulheres portadoras de SOP.</w:t>
            </w:r>
          </w:p>
          <w:p w:rsidR="00000000" w:rsidDel="00000000" w:rsidP="00000000" w:rsidRDefault="00000000" w:rsidRPr="00000000" w14:paraId="00000038">
            <w:pPr>
              <w:widowControl w:val="0"/>
              <w:spacing w:after="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widowControl w:val="0"/>
              <w:spacing w:after="0" w:line="360" w:lineRule="auto"/>
              <w:jc w:val="both"/>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Exploratória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Apesar dos poucos estudos referente a consequência do SOP, sabemos que cada profissional da saúde deve ter seu olhar crítico e humano.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Figueiredo e Vianna (2019)</w:t>
            </w:r>
          </w:p>
          <w:p w:rsidR="00000000" w:rsidDel="00000000" w:rsidP="00000000" w:rsidRDefault="00000000" w:rsidRPr="00000000" w14:paraId="0000003D">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Abordar sobre a SOP e citar as classificações.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Descritivo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Os critérios de inclusão e exclusão de pacientes neste PCDT, a duração e a monitorização do</w:t>
            </w:r>
          </w:p>
          <w:p w:rsidR="00000000" w:rsidDel="00000000" w:rsidP="00000000" w:rsidRDefault="00000000" w:rsidRPr="00000000" w14:paraId="00000042">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tratamento, bem como a verificação periódica das doses prescritas e dispensadas e a adequação do uso</w:t>
            </w:r>
          </w:p>
          <w:p w:rsidR="00000000" w:rsidDel="00000000" w:rsidP="00000000" w:rsidRDefault="00000000" w:rsidRPr="00000000" w14:paraId="00000043">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do medicamento.</w:t>
            </w:r>
          </w:p>
          <w:p w:rsidR="00000000" w:rsidDel="00000000" w:rsidP="00000000" w:rsidRDefault="00000000" w:rsidRPr="00000000" w14:paraId="00000044">
            <w:pPr>
              <w:widowControl w:val="0"/>
              <w:spacing w:after="0" w:line="360" w:lineRule="auto"/>
              <w:jc w:val="both"/>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widowControl w:val="0"/>
              <w:spacing w:after="0" w:line="360" w:lineRule="auto"/>
              <w:rPr>
                <w:rFonts w:ascii="Arial" w:cs="Arial" w:eastAsia="Arial" w:hAnsi="Arial"/>
                <w:i w:val="1"/>
                <w:sz w:val="24"/>
                <w:szCs w:val="24"/>
              </w:rPr>
            </w:pPr>
            <w:r w:rsidDel="00000000" w:rsidR="00000000" w:rsidRPr="00000000">
              <w:rPr>
                <w:rFonts w:ascii="Arial" w:cs="Arial" w:eastAsia="Arial" w:hAnsi="Arial"/>
                <w:sz w:val="24"/>
                <w:szCs w:val="24"/>
                <w:rtl w:val="0"/>
              </w:rPr>
              <w:t xml:space="preserve">Brasil</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(2019)</w:t>
            </w:r>
            <w:r w:rsidDel="00000000" w:rsidR="00000000" w:rsidRPr="00000000">
              <w:rPr>
                <w:rtl w:val="0"/>
              </w:rPr>
            </w:r>
          </w:p>
          <w:p w:rsidR="00000000" w:rsidDel="00000000" w:rsidP="00000000" w:rsidRDefault="00000000" w:rsidRPr="00000000" w14:paraId="00000046">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Objetivo de descrever protocolos clínicos e diretrizes sobre a SOP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Exploratória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Das três contribuições recebidas, a avaliação geral do PCDT de Síndrome dos Ovários</w:t>
            </w:r>
          </w:p>
          <w:p w:rsidR="00000000" w:rsidDel="00000000" w:rsidP="00000000" w:rsidRDefault="00000000" w:rsidRPr="00000000" w14:paraId="0000004B">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Policísticos foi considerada muito boa em 2 registros (67%) e regular em um (33%). Em</w:t>
            </w:r>
          </w:p>
          <w:p w:rsidR="00000000" w:rsidDel="00000000" w:rsidP="00000000" w:rsidRDefault="00000000" w:rsidRPr="00000000" w14:paraId="0000004C">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nenhuma das contribuições foram feitas sugestões de consultas a outras referências.</w:t>
            </w:r>
          </w:p>
          <w:p w:rsidR="00000000" w:rsidDel="00000000" w:rsidP="00000000" w:rsidRDefault="00000000" w:rsidRPr="00000000" w14:paraId="0000004D">
            <w:pPr>
              <w:widowControl w:val="0"/>
              <w:spacing w:after="0" w:line="360" w:lineRule="auto"/>
              <w:jc w:val="both"/>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Silva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br w:type="textWrapping"/>
              <w:t xml:space="preserve">(2019)</w:t>
            </w:r>
          </w:p>
          <w:p w:rsidR="00000000" w:rsidDel="00000000" w:rsidP="00000000" w:rsidRDefault="00000000" w:rsidRPr="00000000" w14:paraId="0000004F">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Revisar sistematicamente a literatura para descrever os efeitos da suplementação de ômega-3 na RI em mulheres com SOP.</w:t>
            </w:r>
          </w:p>
          <w:p w:rsidR="00000000" w:rsidDel="00000000" w:rsidP="00000000" w:rsidRDefault="00000000" w:rsidRPr="00000000" w14:paraId="00000053">
            <w:pPr>
              <w:widowControl w:val="0"/>
              <w:spacing w:after="0" w:line="360" w:lineRule="auto"/>
              <w:jc w:val="both"/>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Explicativo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Cada autor descreveu um estudo usando o Ômega- 3. usando tabelas e fluxogramas.</w:t>
            </w:r>
          </w:p>
          <w:p w:rsidR="00000000" w:rsidDel="00000000" w:rsidP="00000000" w:rsidRDefault="00000000" w:rsidRPr="00000000" w14:paraId="00000056">
            <w:pPr>
              <w:widowControl w:val="0"/>
              <w:spacing w:after="0" w:line="360" w:lineRule="auto"/>
              <w:jc w:val="both"/>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Pinto</w:t>
              <w:br w:type="textWrapping"/>
              <w:t xml:space="preserve">(2019)</w:t>
            </w:r>
          </w:p>
          <w:p w:rsidR="00000000" w:rsidDel="00000000" w:rsidP="00000000" w:rsidRDefault="00000000" w:rsidRPr="00000000" w14:paraId="00000058">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9">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Hiperandrogenismo, principais anormalidades, trazendo o hirsutismo como queixa principal. </w:t>
            </w:r>
          </w:p>
          <w:p w:rsidR="00000000" w:rsidDel="00000000" w:rsidP="00000000" w:rsidRDefault="00000000" w:rsidRPr="00000000" w14:paraId="0000005C">
            <w:pPr>
              <w:widowControl w:val="0"/>
              <w:spacing w:after="0" w:line="360" w:lineRule="auto"/>
              <w:jc w:val="both"/>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Qualitativa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Métodos de remoção dos pelos podem auxiliar</w:t>
            </w:r>
          </w:p>
          <w:p w:rsidR="00000000" w:rsidDel="00000000" w:rsidP="00000000" w:rsidRDefault="00000000" w:rsidRPr="00000000" w14:paraId="0000005F">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tratamento, em especial no hirsutismo localizado.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Baracat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br w:type="textWrapping"/>
              <w:t xml:space="preserve">(2019)</w:t>
            </w:r>
          </w:p>
          <w:p w:rsidR="00000000" w:rsidDel="00000000" w:rsidP="00000000" w:rsidRDefault="00000000" w:rsidRPr="00000000" w14:paraId="00000061">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Descrever as repercussões metabólicas, incluindo quais as principais, como investigar e as consequências desse distúrbio sobre a saúde da mulher.</w:t>
            </w:r>
          </w:p>
          <w:p w:rsidR="00000000" w:rsidDel="00000000" w:rsidP="00000000" w:rsidRDefault="00000000" w:rsidRPr="00000000" w14:paraId="00000063">
            <w:pPr>
              <w:widowControl w:val="0"/>
              <w:spacing w:after="0" w:line="360" w:lineRule="auto"/>
              <w:jc w:val="both"/>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Exploratória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Resultado principal foi uso de metformina, estatinas e fibratos. Nas mulheres com obesidade mórbida que não tiveram bons resultados com o tratamento clínico, a cirurgia bariátrica é uma opção.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Salles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br w:type="textWrapping"/>
              <w:t xml:space="preserve">(2021)</w:t>
            </w:r>
          </w:p>
          <w:p w:rsidR="00000000" w:rsidDel="00000000" w:rsidP="00000000" w:rsidRDefault="00000000" w:rsidRPr="00000000" w14:paraId="00000067">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Abordando terapia medicamentosa para indução da ovulação nas mulheres diagnosticadas com síndrome dos ovários policísticos.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Descritivo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Tratamento individualizado, com vitamina D, corticosteróides, estereoisômeros do Inositol, N-acetilcisteína e coenzima Q10 no manejo da infertilidade.</w:t>
            </w:r>
          </w:p>
          <w:p w:rsidR="00000000" w:rsidDel="00000000" w:rsidP="00000000" w:rsidRDefault="00000000" w:rsidRPr="00000000" w14:paraId="0000006C">
            <w:pPr>
              <w:widowControl w:val="0"/>
              <w:spacing w:after="0" w:line="360" w:lineRule="auto"/>
              <w:jc w:val="both"/>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Oliveira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w:t>
              <w:br w:type="textWrapping"/>
              <w:t xml:space="preserve">(2022)</w:t>
            </w:r>
          </w:p>
          <w:p w:rsidR="00000000" w:rsidDel="00000000" w:rsidP="00000000" w:rsidRDefault="00000000" w:rsidRPr="00000000" w14:paraId="0000006E">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F">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Sintetizar resultados alcançados em estudos sobre a síndrome do ovário policístico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Explicativo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nutricionista na intervenção dos sintomas clínicos da síndrome dos ovários policísticos é de suma importância, pois compete ao profissional o acompanhamento e auxílio a fim de minimizar os sintomas da SOP e contribuir para uma melhor qualidade de vida dessas mulheres.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Yela (2023)</w:t>
            </w:r>
          </w:p>
          <w:p w:rsidR="00000000" w:rsidDel="00000000" w:rsidP="00000000" w:rsidRDefault="00000000" w:rsidRPr="00000000" w14:paraId="00000074">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5">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6">
            <w:pPr>
              <w:widowControl w:val="0"/>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7">
            <w:pPr>
              <w:widowControl w:val="0"/>
              <w:spacing w:after="0" w:line="3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Apresentar, a partir dos dados mais aceitos</w:t>
            </w:r>
          </w:p>
          <w:p w:rsidR="00000000" w:rsidDel="00000000" w:rsidP="00000000" w:rsidRDefault="00000000" w:rsidRPr="00000000" w14:paraId="00000079">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 literatura, o conceito, etiopatogenia e a fisiologia da SOP, de forma aplicada à</w:t>
            </w:r>
          </w:p>
          <w:p w:rsidR="00000000" w:rsidDel="00000000" w:rsidP="00000000" w:rsidRDefault="00000000" w:rsidRPr="00000000" w14:paraId="0000007A">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prática clínica.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Descritores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widowControl w:val="0"/>
              <w:spacing w:after="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Adolescentes com evidência de SOP dentro de um a dois anos após a menarca devem</w:t>
            </w:r>
          </w:p>
          <w:p w:rsidR="00000000" w:rsidDel="00000000" w:rsidP="00000000" w:rsidRDefault="00000000" w:rsidRPr="00000000" w14:paraId="0000007D">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receber um diagnóstico provisório de “em risco de SOP” e tratadas sintomaticamente-</w:t>
            </w:r>
          </w:p>
          <w:p w:rsidR="00000000" w:rsidDel="00000000" w:rsidP="00000000" w:rsidRDefault="00000000" w:rsidRPr="00000000" w14:paraId="0000007E">
            <w:pPr>
              <w:widowControl w:val="0"/>
              <w:spacing w:after="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Somente 8 anos após a menarca pode ser dado o diagnóstico definitivo.</w:t>
            </w:r>
          </w:p>
        </w:tc>
      </w:tr>
    </w:tbl>
    <w:p w:rsidR="00000000" w:rsidDel="00000000" w:rsidP="00000000" w:rsidRDefault="00000000" w:rsidRPr="00000000" w14:paraId="0000007F">
      <w:pPr>
        <w:spacing w:after="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0">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 base nas literaturas apresentadas no quadro e segundo Coelho et al. (2019), as estratégias nutricionais utilizadas para o tratamento da Síndrome dos Ovários Policísticos (SOP) em uma equipe interdisciplinar, destaca -se a importância de cada profissional referente a sua área trabalhando em conjunto, cada um com suas especificidades, visando uma intervenção global, seja no âmbito de assistência/cuidado, planejamento alimentar e medicamentos.</w:t>
      </w:r>
    </w:p>
    <w:p w:rsidR="00000000" w:rsidDel="00000000" w:rsidP="00000000" w:rsidRDefault="00000000" w:rsidRPr="00000000" w14:paraId="00000081">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estudo de Benetti </w:t>
      </w:r>
      <w:r w:rsidDel="00000000" w:rsidR="00000000" w:rsidRPr="00000000">
        <w:rPr>
          <w:rFonts w:ascii="Arial" w:cs="Arial" w:eastAsia="Arial" w:hAnsi="Arial"/>
          <w:i w:val="1"/>
          <w:sz w:val="24"/>
          <w:szCs w:val="24"/>
          <w:rtl w:val="0"/>
        </w:rPr>
        <w:t xml:space="preserve">et al </w:t>
      </w:r>
      <w:r w:rsidDel="00000000" w:rsidR="00000000" w:rsidRPr="00000000">
        <w:rPr>
          <w:rFonts w:ascii="Arial" w:cs="Arial" w:eastAsia="Arial" w:hAnsi="Arial"/>
          <w:sz w:val="24"/>
          <w:szCs w:val="24"/>
          <w:rtl w:val="0"/>
        </w:rPr>
        <w:t xml:space="preserve">(2018), os autores afirmam que cerca de 70 a 80% das mulheres com SOP, apresentam o hirsutismo como uma das características androgênicas da síndrome, ou seja, o aumento de pelos em diversas regiões do corpo, como em axilas e na genitália.</w:t>
      </w:r>
    </w:p>
    <w:p w:rsidR="00000000" w:rsidDel="00000000" w:rsidP="00000000" w:rsidRDefault="00000000" w:rsidRPr="00000000" w14:paraId="00000082">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estudo de Figueiredo e Vianna (2019), eles argumentam que além do hirsutismo, a SOP apresenta sintomas como, alterações menstruais, infertilidade, podendo haver alterações metabólicas, logo algumas pacientes desenvolvem Diabetes Mellitus tipo 2 e maior risco de obesidade.</w:t>
      </w:r>
    </w:p>
    <w:p w:rsidR="00000000" w:rsidDel="00000000" w:rsidP="00000000" w:rsidRDefault="00000000" w:rsidRPr="00000000" w14:paraId="00000083">
      <w:pPr>
        <w:spacing w:after="0" w:line="36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pStyle w:val="Heading2"/>
        <w:spacing w:after="0" w:line="360" w:lineRule="auto"/>
        <w:ind w:firstLine="708.6614173228347"/>
        <w:jc w:val="both"/>
        <w:rPr>
          <w:rFonts w:ascii="Arial" w:cs="Arial" w:eastAsia="Arial" w:hAnsi="Arial"/>
          <w:b w:val="1"/>
          <w:color w:val="000000"/>
          <w:sz w:val="24"/>
          <w:szCs w:val="24"/>
        </w:rPr>
      </w:pPr>
      <w:bookmarkStart w:colFirst="0" w:colLast="0" w:name="_heading=h.qg1v31e4rx9m" w:id="3"/>
      <w:bookmarkEnd w:id="3"/>
      <w:r w:rsidDel="00000000" w:rsidR="00000000" w:rsidRPr="00000000">
        <w:rPr>
          <w:rFonts w:ascii="Arial" w:cs="Arial" w:eastAsia="Arial" w:hAnsi="Arial"/>
          <w:b w:val="1"/>
          <w:color w:val="000000"/>
          <w:sz w:val="24"/>
          <w:szCs w:val="24"/>
          <w:rtl w:val="0"/>
        </w:rPr>
        <w:t xml:space="preserve">3.1 Tratamento farmacológico e não-farmacológico</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tratamento da SOP consiste no controle dos sintomas apresentados, proporcionando condutas terapêuticas distintas conforme cada quadro. Na maior parte dos casos o emagrecimento somente é suficiente para reverter o quadro da paciente, visto que, o sobrepeso e a obesidade são responsáveis por causar resistência insulínica gerando o aumento de hormônios masculinos e andrógenos (Catrinque, 2019).</w:t>
      </w:r>
    </w:p>
    <w:p w:rsidR="00000000" w:rsidDel="00000000" w:rsidP="00000000" w:rsidRDefault="00000000" w:rsidRPr="00000000" w14:paraId="00000087">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O uso de contraceptivos combinados e drogas antiandrogênicas juntamente com mudanças no estilo de vida como a prática regular de exercício físico com uma boa alimentação fazem parte do tratamento (Benetti, 2018). Segundo Pinto (2019), outros métodos também podem estar sendo aplicados, como o de remoção dos pelos, servindo de auxílio no tratamento do hirsutismo.</w:t>
      </w:r>
    </w:p>
    <w:p w:rsidR="00000000" w:rsidDel="00000000" w:rsidP="00000000" w:rsidRDefault="00000000" w:rsidRPr="00000000" w14:paraId="00000088">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plano alimentar deve focar em uma dieta hipocalórica que seja rica em proteínas e que tenha redução de carboidratos, visando a perda de peso e melhorar os distúrbios ocasionados pela síndrome (Santos</w:t>
      </w:r>
      <w:r w:rsidDel="00000000" w:rsidR="00000000" w:rsidRPr="00000000">
        <w:rPr>
          <w:rFonts w:ascii="Arial" w:cs="Arial" w:eastAsia="Arial" w:hAnsi="Arial"/>
          <w:i w:val="1"/>
          <w:sz w:val="24"/>
          <w:szCs w:val="24"/>
          <w:rtl w:val="0"/>
        </w:rPr>
        <w:t xml:space="preserve"> et al.,</w:t>
      </w:r>
      <w:r w:rsidDel="00000000" w:rsidR="00000000" w:rsidRPr="00000000">
        <w:rPr>
          <w:rFonts w:ascii="Arial" w:cs="Arial" w:eastAsia="Arial" w:hAnsi="Arial"/>
          <w:sz w:val="24"/>
          <w:szCs w:val="24"/>
          <w:rtl w:val="0"/>
        </w:rPr>
        <w:t xml:space="preserve"> 2019). Na visão de Oliveira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(2022) é importante uma alimentação com o aumento de ácidos graxos poli-insaturados, como o ômega 3, além do consumo de vegetais, frutas, cereais e fontes de fibras.</w:t>
      </w:r>
    </w:p>
    <w:p w:rsidR="00000000" w:rsidDel="00000000" w:rsidP="00000000" w:rsidRDefault="00000000" w:rsidRPr="00000000" w14:paraId="00000089">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Segundo Yela (2023) os contraceptivos orais combinados são considerados a primeira linha da farmacoterapia para suprimir manifestações androgênicas e controle do ciclo menstrual. O estrogênio atua inibindo a secreção de Hormônios Luteinizantes (LH) causando a diminuição da produção de andrógenos pelo ovário e da testosterona livre. O progestagênio por sua vez, age na inibição da proliferação endometrial, prevenindo a hiperplasia endometrial. Uso de doses mais baixas ou uso do estrogênio natural é recomendado, a fim de evitar risco tromboembólico.</w:t>
      </w:r>
    </w:p>
    <w:p w:rsidR="00000000" w:rsidDel="00000000" w:rsidP="00000000" w:rsidRDefault="00000000" w:rsidRPr="00000000" w14:paraId="0000008A">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metformina foi adotada para o tratamento da SOP na década de 1990, por melhorar o hiperandrogenismo e diminuir a insulina de jejum, mas não altera de modo significado o perfil lipídico, embora não tenha evidências específicas para pacientes com SOP, recomenda-se o uso da metformina para prevenção do diabetes tipo 2 e redução dos níveis da insulina, baseados em estudos com população geral. (Soares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2018). </w:t>
      </w:r>
    </w:p>
    <w:p w:rsidR="00000000" w:rsidDel="00000000" w:rsidP="00000000" w:rsidRDefault="00000000" w:rsidRPr="00000000" w14:paraId="0000008B">
      <w:pPr>
        <w:spacing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acordo com Salles </w:t>
      </w:r>
      <w:r w:rsidDel="00000000" w:rsidR="00000000" w:rsidRPr="00000000">
        <w:rPr>
          <w:rFonts w:ascii="Arial" w:cs="Arial" w:eastAsia="Arial" w:hAnsi="Arial"/>
          <w:i w:val="1"/>
          <w:sz w:val="24"/>
          <w:szCs w:val="24"/>
          <w:rtl w:val="0"/>
        </w:rPr>
        <w:t xml:space="preserve">et al. </w:t>
      </w:r>
      <w:r w:rsidDel="00000000" w:rsidR="00000000" w:rsidRPr="00000000">
        <w:rPr>
          <w:rFonts w:ascii="Arial" w:cs="Arial" w:eastAsia="Arial" w:hAnsi="Arial"/>
          <w:sz w:val="24"/>
          <w:szCs w:val="24"/>
          <w:rtl w:val="0"/>
        </w:rPr>
        <w:t xml:space="preserve">(2021)</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o Citrato de Clomifeno (CC) foi a primeira medicação a ser estudada para o tratamento da infertilidade, e foi utilizado por muito tempo para induzir a ovulação nas pacientes com SOP, é uma droga semelhante ao estrogênio, sendo assim, se liga aos receptores estrogênicos. Um dos possíveis riscos dessa terapêutica é a gestação múltipla, sendo mais frequente a incidência de gêmeos do que trigêmeos.</w:t>
      </w:r>
    </w:p>
    <w:p w:rsidR="00000000" w:rsidDel="00000000" w:rsidP="00000000" w:rsidRDefault="00000000" w:rsidRPr="00000000" w14:paraId="0000008C">
      <w:pPr>
        <w:spacing w:line="36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D">
      <w:pPr>
        <w:pStyle w:val="Heading2"/>
        <w:spacing w:after="0" w:line="360" w:lineRule="auto"/>
        <w:ind w:firstLine="708"/>
        <w:jc w:val="both"/>
        <w:rPr>
          <w:rFonts w:ascii="Arial" w:cs="Arial" w:eastAsia="Arial" w:hAnsi="Arial"/>
          <w:b w:val="1"/>
          <w:color w:val="000000"/>
          <w:sz w:val="24"/>
          <w:szCs w:val="24"/>
        </w:rPr>
      </w:pPr>
      <w:bookmarkStart w:colFirst="0" w:colLast="0" w:name="_heading=h.dsg05ljsbqmp" w:id="4"/>
      <w:bookmarkEnd w:id="4"/>
      <w:r w:rsidDel="00000000" w:rsidR="00000000" w:rsidRPr="00000000">
        <w:rPr>
          <w:rFonts w:ascii="Arial" w:cs="Arial" w:eastAsia="Arial" w:hAnsi="Arial"/>
          <w:b w:val="1"/>
          <w:color w:val="000000"/>
          <w:sz w:val="24"/>
          <w:szCs w:val="24"/>
          <w:rtl w:val="0"/>
        </w:rPr>
        <w:t xml:space="preserve">3.2 Abordagem multidisciplinar </w:t>
      </w:r>
    </w:p>
    <w:p w:rsidR="00000000" w:rsidDel="00000000" w:rsidP="00000000" w:rsidRDefault="00000000" w:rsidRPr="00000000" w14:paraId="0000008E">
      <w:pPr>
        <w:spacing w:after="0" w:line="360" w:lineRule="auto"/>
        <w:ind w:firstLine="708"/>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F">
      <w:pPr>
        <w:spacing w:after="0" w:line="360" w:lineRule="auto"/>
        <w:ind w:firstLine="708"/>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Na abordagem de Catrinque (2019), traz a importância do trabalho multiprofissional da área de saúde para o tratamento da SOP, pois mudanças no estilo de vida, utilização de fármacos e hábitos alimentares devem estar em harmonia para tratar a síndrome. Visto que, segundo Baracat e Rezende (2023), os impactos causados pela SOP na qualidade de vida das suas portadoras reforçam a necessidade de uma terapêutica interdisciplinar, precoce e especializada visando tratar todos os setores acometidos pela síndrome.</w:t>
      </w:r>
      <w:r w:rsidDel="00000000" w:rsidR="00000000" w:rsidRPr="00000000">
        <w:rPr>
          <w:rtl w:val="0"/>
        </w:rPr>
      </w:r>
    </w:p>
    <w:p w:rsidR="00000000" w:rsidDel="00000000" w:rsidP="00000000" w:rsidRDefault="00000000" w:rsidRPr="00000000" w14:paraId="00000090">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doença e os fatores de risco podem ser identificados pelos profissionais de saúde ainda na Atenção Básica em estágio inicial através da realização do exame físico e coleta de dados, identificando sintomas e sinais necessários para o diagnóstico de SOP e um encaminhamento adequado para um atendimento especializado e tratamento dos distúrbios metabólicos que prejudicam a qualidade de vida da paciente (Brasil, 2019).</w:t>
      </w:r>
    </w:p>
    <w:p w:rsidR="00000000" w:rsidDel="00000000" w:rsidP="00000000" w:rsidRDefault="00000000" w:rsidRPr="00000000" w14:paraId="00000091">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estudo feito por Ee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(2021) evidencia as diversas barreiras com relação à forma de gerenciamento do estilo de vida em mulheres com SOP, como dificuldades no controle de peso, distúrbios nutricionais e regulação do sono, provocadas por uma desregulação hormonal, além de outras barreiras a mais. Dito isso, a implementação de estratégias deve ser aplicada nos quesitos de motivação, capacidade, oportunidade e comportamento.</w:t>
      </w:r>
    </w:p>
    <w:p w:rsidR="00000000" w:rsidDel="00000000" w:rsidP="00000000" w:rsidRDefault="00000000" w:rsidRPr="00000000" w14:paraId="00000092">
      <w:pPr>
        <w:spacing w:line="360" w:lineRule="auto"/>
        <w:ind w:firstLine="708"/>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Os trabalhos de educação e de promoção de saúde na visão de Coelho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(2019) possuem papel fundamental na estimulação de rodas conversas que visem esclarecer dúvidas e evitar um diagnóstico tardio da doença. Ee </w:t>
      </w:r>
      <w:r w:rsidDel="00000000" w:rsidR="00000000" w:rsidRPr="00000000">
        <w:rPr>
          <w:rFonts w:ascii="Arial" w:cs="Arial" w:eastAsia="Arial" w:hAnsi="Arial"/>
          <w:i w:val="1"/>
          <w:sz w:val="24"/>
          <w:szCs w:val="24"/>
          <w:rtl w:val="0"/>
        </w:rPr>
        <w:t xml:space="preserve">et al.</w:t>
      </w:r>
      <w:r w:rsidDel="00000000" w:rsidR="00000000" w:rsidRPr="00000000">
        <w:rPr>
          <w:rFonts w:ascii="Arial" w:cs="Arial" w:eastAsia="Arial" w:hAnsi="Arial"/>
          <w:sz w:val="24"/>
          <w:szCs w:val="24"/>
          <w:rtl w:val="0"/>
        </w:rPr>
        <w:t xml:space="preserve"> (2021), afirmam que por esta razão, os profissionais de saúde precisam estar capacitados para melhorar a assistência e garantir qualidade nos atendimentos às pacientes incentivando a adesão à terapêutica.</w:t>
      </w:r>
      <w:r w:rsidDel="00000000" w:rsidR="00000000" w:rsidRPr="00000000">
        <w:rPr>
          <w:rtl w:val="0"/>
        </w:rPr>
      </w:r>
    </w:p>
    <w:p w:rsidR="00000000" w:rsidDel="00000000" w:rsidP="00000000" w:rsidRDefault="00000000" w:rsidRPr="00000000" w14:paraId="00000093">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pStyle w:val="Heading1"/>
        <w:numPr>
          <w:ilvl w:val="0"/>
          <w:numId w:val="1"/>
        </w:numPr>
        <w:tabs>
          <w:tab w:val="left" w:leader="none" w:pos="284"/>
        </w:tabs>
        <w:ind w:left="720" w:hanging="360"/>
        <w:rPr/>
      </w:pPr>
      <w:r w:rsidDel="00000000" w:rsidR="00000000" w:rsidRPr="00000000">
        <w:rPr>
          <w:rtl w:val="0"/>
        </w:rPr>
        <w:t xml:space="preserve">CONCLUSÃO</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SOP trata-se de um distúrbio complexo, multifatorial e genético. Em vista disso, a terapêutica ofertada aos pacientes deve levar em consideração as singularidades de cada caso. As intervenções no estilo de vida e adoção de hábitos mais saudáveis constituem a primeira linha de tratamentos e devem ser associadas medidas farmacológicas conforme a necessidade de cada paciente.</w:t>
      </w:r>
    </w:p>
    <w:p w:rsidR="00000000" w:rsidDel="00000000" w:rsidP="00000000" w:rsidRDefault="00000000" w:rsidRPr="00000000" w14:paraId="00000097">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planejamento alimentar desempenha um papel crucial no manejo da SOP e é um passo importante para a mudança no estilo de vida das pacientes. Uma dieta equilibrada e adequada pode ajudar a controlar os sintomas, as estratégias nutricionais podem ser abordadas pelos profissionais de saúde por meio de atividades educativas que visem promover saúde através de recomendações de alimentos que devem ser evitados e alimentos que podem ser benéficos para as portadoras da síndrome.</w:t>
      </w:r>
    </w:p>
    <w:p w:rsidR="00000000" w:rsidDel="00000000" w:rsidP="00000000" w:rsidRDefault="00000000" w:rsidRPr="00000000" w14:paraId="00000098">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equipe de saúde deve estar devidamente capacitada para implementar estratégias que estimulem a adesão aos tratamentos. Visto que, a efetividade da terapêutica garante o controle dos sintomas e uma maior qualidade de vida. Assim, conclui-se que é de suma importância para as pacientes com o diagnóstico de SOP a presença de uma equipe interprofissional de saúde como de nutrição, enfermagem, farmácia, entre outros, visando uma assistência de qualidade, cuidado e atenção, planejamento alimentar e tratamento farmacológico em conjunto.</w:t>
      </w:r>
    </w:p>
    <w:p w:rsidR="00000000" w:rsidDel="00000000" w:rsidP="00000000" w:rsidRDefault="00000000" w:rsidRPr="00000000" w14:paraId="00000099">
      <w:pPr>
        <w:spacing w:after="0" w:line="36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pStyle w:val="Heading1"/>
        <w:jc w:val="left"/>
        <w:rPr/>
      </w:pPr>
      <w:r w:rsidDel="00000000" w:rsidR="00000000" w:rsidRPr="00000000">
        <w:rPr>
          <w:rtl w:val="0"/>
        </w:rPr>
        <w:t xml:space="preserve">REFERÊNCIAS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BENETTI-PINTO C.L. Tratamento das manifestações androgênicas. In: </w:t>
      </w:r>
      <w:r w:rsidDel="00000000" w:rsidR="00000000" w:rsidRPr="00000000">
        <w:rPr>
          <w:rFonts w:ascii="Arial" w:cs="Arial" w:eastAsia="Arial" w:hAnsi="Arial"/>
          <w:b w:val="1"/>
          <w:sz w:val="24"/>
          <w:szCs w:val="24"/>
          <w:rtl w:val="0"/>
        </w:rPr>
        <w:t xml:space="preserve">Síndrome dos ovários policísticos</w:t>
      </w:r>
      <w:r w:rsidDel="00000000" w:rsidR="00000000" w:rsidRPr="00000000">
        <w:rPr>
          <w:rFonts w:ascii="Arial" w:cs="Arial" w:eastAsia="Arial" w:hAnsi="Arial"/>
          <w:sz w:val="24"/>
          <w:szCs w:val="24"/>
          <w:rtl w:val="0"/>
        </w:rPr>
        <w:t xml:space="preserve">. São Paulo: Federação Brasileira das Associações de Ginecologia e Obstetrícia (Febrasgo); 2018. Cap. 5. p. 56-67. (Série Orientações e Recomendações Febrasgo, nº 4, Comissão Nacional de Ginecologia Endócrina).</w:t>
      </w:r>
    </w:p>
    <w:p w:rsidR="00000000" w:rsidDel="00000000" w:rsidP="00000000" w:rsidRDefault="00000000" w:rsidRPr="00000000" w14:paraId="0000009D">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BARACAT, M. C.; REZENDE G. P. Qualidade de vida e função sexual em mulheres com SOP. In: </w:t>
      </w:r>
      <w:r w:rsidDel="00000000" w:rsidR="00000000" w:rsidRPr="00000000">
        <w:rPr>
          <w:rFonts w:ascii="Arial" w:cs="Arial" w:eastAsia="Arial" w:hAnsi="Arial"/>
          <w:b w:val="1"/>
          <w:sz w:val="24"/>
          <w:szCs w:val="24"/>
          <w:rtl w:val="0"/>
        </w:rPr>
        <w:t xml:space="preserve">Síndrome dos ovários policísticos</w:t>
      </w:r>
      <w:r w:rsidDel="00000000" w:rsidR="00000000" w:rsidRPr="00000000">
        <w:rPr>
          <w:rFonts w:ascii="Arial" w:cs="Arial" w:eastAsia="Arial" w:hAnsi="Arial"/>
          <w:sz w:val="24"/>
          <w:szCs w:val="24"/>
          <w:rtl w:val="0"/>
        </w:rPr>
        <w:t xml:space="preserve">. 3ª ed. São Paulo: Federação Brasileira das Associações de Ginecologia e Obstetrícia (FEBRASGO); 2023. Cap. 4, p. 46-64. (Série Orientações e Recomendações FEBRASGO n° 1, Comissão Nacional Especializada em Ginecologia Endócrina).</w:t>
      </w:r>
    </w:p>
    <w:p w:rsidR="00000000" w:rsidDel="00000000" w:rsidP="00000000" w:rsidRDefault="00000000" w:rsidRPr="00000000" w14:paraId="0000009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BRASIL, Ministério da Saúde. </w:t>
      </w:r>
      <w:r w:rsidDel="00000000" w:rsidR="00000000" w:rsidRPr="00000000">
        <w:rPr>
          <w:rFonts w:ascii="Arial" w:cs="Arial" w:eastAsia="Arial" w:hAnsi="Arial"/>
          <w:b w:val="1"/>
          <w:sz w:val="24"/>
          <w:szCs w:val="24"/>
          <w:rtl w:val="0"/>
        </w:rPr>
        <w:t xml:space="preserve">Relatório de Recomendação: Protocolos Clínicos e Diretrizes Terapêuticas – PCDT. Fev. 2019.</w:t>
      </w:r>
      <w:r w:rsidDel="00000000" w:rsidR="00000000" w:rsidRPr="00000000">
        <w:rPr>
          <w:rFonts w:ascii="Arial" w:cs="Arial" w:eastAsia="Arial" w:hAnsi="Arial"/>
          <w:sz w:val="24"/>
          <w:szCs w:val="24"/>
          <w:rtl w:val="0"/>
        </w:rPr>
        <w:t xml:space="preserve"> Disponível em: &lt;http://conitec.gov.br/eses/decisoes-sobre-incorporacoes&gt;. Acesso em: 23 mar. 2024.</w:t>
      </w:r>
    </w:p>
    <w:p w:rsidR="00000000" w:rsidDel="00000000" w:rsidP="00000000" w:rsidRDefault="00000000" w:rsidRPr="00000000" w14:paraId="000000A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BRASIL. Ministério da Saúde. Secretaria de Ciência, Tecnologia, Inovação e Insumos Estratégicos em Saúde. Departamento de Gestão e Incorporação de Tecnologias e Inovação em Saúde.</w:t>
      </w:r>
      <w:r w:rsidDel="00000000" w:rsidR="00000000" w:rsidRPr="00000000">
        <w:rPr>
          <w:rFonts w:ascii="Arial" w:cs="Arial" w:eastAsia="Arial" w:hAnsi="Arial"/>
          <w:b w:val="1"/>
          <w:sz w:val="24"/>
          <w:szCs w:val="24"/>
          <w:rtl w:val="0"/>
        </w:rPr>
        <w:t xml:space="preserve"> Protocolo Clínico e Diretrizes Terapêuticas da Síndrome de Ovários Policísticos [recurso eletrônico]</w:t>
      </w:r>
      <w:r w:rsidDel="00000000" w:rsidR="00000000" w:rsidRPr="00000000">
        <w:rPr>
          <w:rFonts w:ascii="Arial" w:cs="Arial" w:eastAsia="Arial" w:hAnsi="Arial"/>
          <w:sz w:val="24"/>
          <w:szCs w:val="24"/>
          <w:rtl w:val="0"/>
        </w:rPr>
        <w:t xml:space="preserve">. Brasília: Ministério da Saúde, Secretaria de Ciência, Tecnologia, Inovação e Insumos Estratégicos em Saúde, Departamento de Gestão e Incorporação de Tecnologias e Inovação em Saúde, 2020.</w:t>
      </w:r>
    </w:p>
    <w:p w:rsidR="00000000" w:rsidDel="00000000" w:rsidP="00000000" w:rsidRDefault="00000000" w:rsidRPr="00000000" w14:paraId="000000A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4">
      <w:pPr>
        <w:spacing w:after="4" w:line="240" w:lineRule="auto"/>
        <w:ind w:right="1"/>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BRASIL. Síndrome dos ovários policísticos. 3ª ed. -- São Paulo: Federação</w:t>
      </w:r>
    </w:p>
    <w:p w:rsidR="00000000" w:rsidDel="00000000" w:rsidP="00000000" w:rsidRDefault="00000000" w:rsidRPr="00000000" w14:paraId="000000A5">
      <w:pPr>
        <w:spacing w:after="4" w:line="240" w:lineRule="auto"/>
        <w:ind w:right="1"/>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Brasileira das Associações de Ginecologia e Obstetrícia (FEBRASGO), 2023. (Série, </w:t>
      </w:r>
      <w:r w:rsidDel="00000000" w:rsidR="00000000" w:rsidRPr="00000000">
        <w:rPr>
          <w:rFonts w:ascii="Arial" w:cs="Arial" w:eastAsia="Arial" w:hAnsi="Arial"/>
          <w:b w:val="1"/>
          <w:sz w:val="24"/>
          <w:szCs w:val="24"/>
          <w:highlight w:val="white"/>
          <w:rtl w:val="0"/>
        </w:rPr>
        <w:t xml:space="preserve">Orientações e Recomendações FEBRASGO</w:t>
      </w:r>
      <w:r w:rsidDel="00000000" w:rsidR="00000000" w:rsidRPr="00000000">
        <w:rPr>
          <w:rFonts w:ascii="Arial" w:cs="Arial" w:eastAsia="Arial" w:hAnsi="Arial"/>
          <w:sz w:val="24"/>
          <w:szCs w:val="24"/>
          <w:highlight w:val="white"/>
          <w:rtl w:val="0"/>
        </w:rPr>
        <w:t xml:space="preserve">, no.1/Comissão Nacional Especializada em Ginecologia Endócrina).</w:t>
      </w:r>
    </w:p>
    <w:p w:rsidR="00000000" w:rsidDel="00000000" w:rsidP="00000000" w:rsidRDefault="00000000" w:rsidRPr="00000000" w14:paraId="000000A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CATRINQUE, J. </w:t>
      </w:r>
      <w:r w:rsidDel="00000000" w:rsidR="00000000" w:rsidRPr="00000000">
        <w:rPr>
          <w:rFonts w:ascii="Arial" w:cs="Arial" w:eastAsia="Arial" w:hAnsi="Arial"/>
          <w:b w:val="1"/>
          <w:sz w:val="24"/>
          <w:szCs w:val="24"/>
          <w:rtl w:val="0"/>
        </w:rPr>
        <w:t xml:space="preserve">Abordagem multiprofissional a portadoras da Síndrome do Ovário Policístico (SOP).</w:t>
      </w:r>
      <w:r w:rsidDel="00000000" w:rsidR="00000000" w:rsidRPr="00000000">
        <w:rPr>
          <w:rFonts w:ascii="Arial" w:cs="Arial" w:eastAsia="Arial" w:hAnsi="Arial"/>
          <w:sz w:val="24"/>
          <w:szCs w:val="24"/>
          <w:rtl w:val="0"/>
        </w:rPr>
        <w:t xml:space="preserve"> Faculdade de Educação e Meio Ambiente (FAEMA), 2019. Disponível em: &lt;</w:t>
      </w:r>
      <w:hyperlink r:id="rId9">
        <w:r w:rsidDel="00000000" w:rsidR="00000000" w:rsidRPr="00000000">
          <w:rPr>
            <w:rFonts w:ascii="Arial" w:cs="Arial" w:eastAsia="Arial" w:hAnsi="Arial"/>
            <w:color w:val="1155cc"/>
            <w:sz w:val="24"/>
            <w:szCs w:val="24"/>
            <w:u w:val="single"/>
            <w:rtl w:val="0"/>
          </w:rPr>
          <w:t xml:space="preserve">https://repositorio.unifaema.edu.br/bitstream/123456789/2556/1/tcc%20jeane%20word-convertido_assinado_assinado_assinado%20por%20todas.pdf</w:t>
        </w:r>
      </w:hyperlink>
      <w:r w:rsidDel="00000000" w:rsidR="00000000" w:rsidRPr="00000000">
        <w:rPr>
          <w:rFonts w:ascii="Arial" w:cs="Arial" w:eastAsia="Arial" w:hAnsi="Arial"/>
          <w:color w:val="000000"/>
          <w:sz w:val="24"/>
          <w:szCs w:val="24"/>
          <w:rtl w:val="0"/>
        </w:rPr>
        <w:t xml:space="preserve">&gt;.</w:t>
      </w:r>
      <w:r w:rsidDel="00000000" w:rsidR="00000000" w:rsidRPr="00000000">
        <w:rPr>
          <w:rFonts w:ascii="Arial" w:cs="Arial" w:eastAsia="Arial" w:hAnsi="Arial"/>
          <w:sz w:val="24"/>
          <w:szCs w:val="24"/>
          <w:rtl w:val="0"/>
        </w:rPr>
        <w:t xml:space="preserve">Acesso em: 25 mar. 2024.</w:t>
      </w:r>
    </w:p>
    <w:p w:rsidR="00000000" w:rsidDel="00000000" w:rsidP="00000000" w:rsidRDefault="00000000" w:rsidRPr="00000000" w14:paraId="000000A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9">
      <w:pPr>
        <w:spacing w:after="0" w:line="240"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COELHO, S. H. A.; RODRIGUES, F.D.L.; SILVA, L.R. Educação em saúde focada na promoção da saúde da Síndrome dos Ovários Policísticos (SOP).</w:t>
      </w:r>
      <w:r w:rsidDel="00000000" w:rsidR="00000000" w:rsidRPr="00000000">
        <w:rPr>
          <w:rFonts w:ascii="Arial" w:cs="Arial" w:eastAsia="Arial" w:hAnsi="Arial"/>
          <w:b w:val="1"/>
          <w:sz w:val="24"/>
          <w:szCs w:val="24"/>
          <w:highlight w:val="white"/>
          <w:rtl w:val="0"/>
        </w:rPr>
        <w:t xml:space="preserve"> Encontro de Extensão, Docência e Iniciação Científica (EEDIC)</w:t>
      </w:r>
      <w:r w:rsidDel="00000000" w:rsidR="00000000" w:rsidRPr="00000000">
        <w:rPr>
          <w:rFonts w:ascii="Arial" w:cs="Arial" w:eastAsia="Arial" w:hAnsi="Arial"/>
          <w:sz w:val="24"/>
          <w:szCs w:val="24"/>
          <w:highlight w:val="white"/>
          <w:rtl w:val="0"/>
        </w:rPr>
        <w:t xml:space="preserve">, [S.l.], v. 6, dec. 2019. ISSN 2446-6042. Disponível em: &lt;</w:t>
      </w:r>
      <w:hyperlink r:id="rId10">
        <w:r w:rsidDel="00000000" w:rsidR="00000000" w:rsidRPr="00000000">
          <w:rPr>
            <w:rFonts w:ascii="Arial" w:cs="Arial" w:eastAsia="Arial" w:hAnsi="Arial"/>
            <w:color w:val="1155cc"/>
            <w:sz w:val="24"/>
            <w:szCs w:val="24"/>
            <w:highlight w:val="white"/>
            <w:u w:val="single"/>
            <w:rtl w:val="0"/>
          </w:rPr>
          <w:t xml:space="preserve">http://publicacoesacademicas.unicatolicaquixada.edu.br/index.php/eedic/article/view/3865</w:t>
        </w:r>
      </w:hyperlink>
      <w:r w:rsidDel="00000000" w:rsidR="00000000" w:rsidRPr="00000000">
        <w:rPr>
          <w:rFonts w:ascii="Arial" w:cs="Arial" w:eastAsia="Arial" w:hAnsi="Arial"/>
          <w:sz w:val="24"/>
          <w:szCs w:val="24"/>
          <w:highlight w:val="white"/>
          <w:rtl w:val="0"/>
        </w:rPr>
        <w:t xml:space="preserve">&gt;. Acesso em: 27 mar. 2024.</w:t>
      </w:r>
    </w:p>
    <w:p w:rsidR="00000000" w:rsidDel="00000000" w:rsidP="00000000" w:rsidRDefault="00000000" w:rsidRPr="00000000" w14:paraId="000000AA">
      <w:pPr>
        <w:spacing w:after="4" w:line="240" w:lineRule="auto"/>
        <w:ind w:right="1"/>
        <w:rPr>
          <w:rFonts w:ascii="Arial" w:cs="Arial" w:eastAsia="Arial" w:hAnsi="Arial"/>
          <w:sz w:val="24"/>
          <w:szCs w:val="24"/>
          <w:highlight w:val="white"/>
        </w:rPr>
      </w:pPr>
      <w:bookmarkStart w:colFirst="0" w:colLast="0" w:name="_heading=h.3znysh7" w:id="5"/>
      <w:bookmarkEnd w:id="5"/>
      <w:r w:rsidDel="00000000" w:rsidR="00000000" w:rsidRPr="00000000">
        <w:rPr>
          <w:rtl w:val="0"/>
        </w:rPr>
      </w:r>
    </w:p>
    <w:p w:rsidR="00000000" w:rsidDel="00000000" w:rsidP="00000000" w:rsidRDefault="00000000" w:rsidRPr="00000000" w14:paraId="000000AB">
      <w:pPr>
        <w:spacing w:after="4" w:line="240" w:lineRule="auto"/>
        <w:ind w:right="1"/>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BRASIL. Síndrome dos ovários policísticos. 3ª ed. -- São Paulo: Federação</w:t>
      </w:r>
    </w:p>
    <w:p w:rsidR="00000000" w:rsidDel="00000000" w:rsidP="00000000" w:rsidRDefault="00000000" w:rsidRPr="00000000" w14:paraId="000000AC">
      <w:pPr>
        <w:spacing w:after="4" w:line="240" w:lineRule="auto"/>
        <w:ind w:right="1"/>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Brasileira das Associações de Ginecologia e Obstetrícia (FEBRASGO), 2023. (Série, </w:t>
      </w:r>
      <w:r w:rsidDel="00000000" w:rsidR="00000000" w:rsidRPr="00000000">
        <w:rPr>
          <w:rFonts w:ascii="Arial" w:cs="Arial" w:eastAsia="Arial" w:hAnsi="Arial"/>
          <w:b w:val="1"/>
          <w:sz w:val="24"/>
          <w:szCs w:val="24"/>
          <w:highlight w:val="white"/>
          <w:rtl w:val="0"/>
        </w:rPr>
        <w:t xml:space="preserve">Orientações e Recomendações FEBRASGO</w:t>
      </w:r>
      <w:r w:rsidDel="00000000" w:rsidR="00000000" w:rsidRPr="00000000">
        <w:rPr>
          <w:rFonts w:ascii="Arial" w:cs="Arial" w:eastAsia="Arial" w:hAnsi="Arial"/>
          <w:sz w:val="24"/>
          <w:szCs w:val="24"/>
          <w:highlight w:val="white"/>
          <w:rtl w:val="0"/>
        </w:rPr>
        <w:t xml:space="preserve">, no.1/Comissão Nacional Especializada em Ginecologia Endócrina).</w:t>
      </w:r>
    </w:p>
    <w:p w:rsidR="00000000" w:rsidDel="00000000" w:rsidP="00000000" w:rsidRDefault="00000000" w:rsidRPr="00000000" w14:paraId="000000AD">
      <w:pPr>
        <w:spacing w:after="4" w:line="240" w:lineRule="auto"/>
        <w:ind w:right="1"/>
        <w:rPr>
          <w:rFonts w:ascii="Arial" w:cs="Arial" w:eastAsia="Arial" w:hAnsi="Arial"/>
          <w:sz w:val="24"/>
          <w:szCs w:val="24"/>
          <w:highlight w:val="white"/>
        </w:rPr>
      </w:pPr>
      <w:bookmarkStart w:colFirst="0" w:colLast="0" w:name="_heading=h.2et92p0" w:id="6"/>
      <w:bookmarkEnd w:id="6"/>
      <w:r w:rsidDel="00000000" w:rsidR="00000000" w:rsidRPr="00000000">
        <w:rPr>
          <w:rtl w:val="0"/>
        </w:rPr>
      </w:r>
    </w:p>
    <w:p w:rsidR="00000000" w:rsidDel="00000000" w:rsidP="00000000" w:rsidRDefault="00000000" w:rsidRPr="00000000" w14:paraId="000000A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DABADGHAO P. Polycystic ovary syndrome in adolescents. </w:t>
      </w:r>
      <w:r w:rsidDel="00000000" w:rsidR="00000000" w:rsidRPr="00000000">
        <w:rPr>
          <w:rFonts w:ascii="Arial" w:cs="Arial" w:eastAsia="Arial" w:hAnsi="Arial"/>
          <w:b w:val="1"/>
          <w:sz w:val="24"/>
          <w:szCs w:val="24"/>
          <w:rtl w:val="0"/>
        </w:rPr>
        <w:t xml:space="preserve">Best Pract Res Clin Endocrinol Metab</w:t>
      </w:r>
      <w:r w:rsidDel="00000000" w:rsidR="00000000" w:rsidRPr="00000000">
        <w:rPr>
          <w:rFonts w:ascii="Arial" w:cs="Arial" w:eastAsia="Arial" w:hAnsi="Arial"/>
          <w:sz w:val="24"/>
          <w:szCs w:val="24"/>
          <w:rtl w:val="0"/>
        </w:rPr>
        <w:t xml:space="preserve">, v. 33, n. 3, 2019. DOI:10.1016/j.beem.2019.04.006</w:t>
      </w:r>
    </w:p>
    <w:p w:rsidR="00000000" w:rsidDel="00000000" w:rsidP="00000000" w:rsidRDefault="00000000" w:rsidRPr="00000000" w14:paraId="000000A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EE, C.; PIROTTA, S.; MOUSA, A.; MORAN, L.; LIM, V. Providing lifestyle advice to women with PCOS: an overview of practical issues affecting success. </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b w:val="1"/>
          <w:sz w:val="24"/>
          <w:szCs w:val="24"/>
          <w:highlight w:val="white"/>
          <w:rtl w:val="0"/>
        </w:rPr>
        <w:t xml:space="preserve">BMC Endocr Disord</w:t>
      </w:r>
      <w:r w:rsidDel="00000000" w:rsidR="00000000" w:rsidRPr="00000000">
        <w:rPr>
          <w:rFonts w:ascii="Arial" w:cs="Arial" w:eastAsia="Arial" w:hAnsi="Arial"/>
          <w:sz w:val="24"/>
          <w:szCs w:val="24"/>
          <w:rtl w:val="0"/>
        </w:rPr>
        <w:t xml:space="preserve">, v. 21, n. 234, p. 1 – 12, 2021. Disponível em: </w:t>
      </w:r>
      <w:hyperlink r:id="rId11">
        <w:r w:rsidDel="00000000" w:rsidR="00000000" w:rsidRPr="00000000">
          <w:rPr>
            <w:rFonts w:ascii="Arial" w:cs="Arial" w:eastAsia="Arial" w:hAnsi="Arial"/>
            <w:color w:val="1155cc"/>
            <w:sz w:val="24"/>
            <w:szCs w:val="24"/>
            <w:u w:val="single"/>
            <w:rtl w:val="0"/>
          </w:rPr>
          <w:t xml:space="preserve">https://pubmed.ncbi.nlm.nih.gov/34814919/</w:t>
        </w:r>
      </w:hyperlink>
      <w:r w:rsidDel="00000000" w:rsidR="00000000" w:rsidRPr="00000000">
        <w:rPr>
          <w:rFonts w:ascii="Arial" w:cs="Arial" w:eastAsia="Arial" w:hAnsi="Arial"/>
          <w:sz w:val="24"/>
          <w:szCs w:val="24"/>
          <w:rtl w:val="0"/>
        </w:rPr>
        <w:t xml:space="preserve">.Acesso em: 27 mar. 2024.</w:t>
      </w:r>
    </w:p>
    <w:p w:rsidR="00000000" w:rsidDel="00000000" w:rsidP="00000000" w:rsidRDefault="00000000" w:rsidRPr="00000000" w14:paraId="000000B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OLIVEIRA, T.F.; SILVA, M.J; SALOMON, A.L. Síndrome do ovário policístico: a nutrição no tratamento de resistência à insulina e dos processos inflamatórios.</w:t>
      </w:r>
      <w:r w:rsidDel="00000000" w:rsidR="00000000" w:rsidRPr="00000000">
        <w:rPr>
          <w:rFonts w:ascii="Arial" w:cs="Arial" w:eastAsia="Arial" w:hAnsi="Arial"/>
          <w:b w:val="1"/>
          <w:sz w:val="24"/>
          <w:szCs w:val="24"/>
          <w:rtl w:val="0"/>
        </w:rPr>
        <w:t xml:space="preserve"> Research, Society and Development</w:t>
      </w:r>
      <w:r w:rsidDel="00000000" w:rsidR="00000000" w:rsidRPr="00000000">
        <w:rPr>
          <w:rFonts w:ascii="Arial" w:cs="Arial" w:eastAsia="Arial" w:hAnsi="Arial"/>
          <w:sz w:val="24"/>
          <w:szCs w:val="24"/>
          <w:rtl w:val="0"/>
        </w:rPr>
        <w:t xml:space="preserve">, v. 11, n. 8, e56011831425, 2022. DOI: </w:t>
      </w:r>
      <w:hyperlink r:id="rId12">
        <w:r w:rsidDel="00000000" w:rsidR="00000000" w:rsidRPr="00000000">
          <w:rPr>
            <w:rFonts w:ascii="Arial" w:cs="Arial" w:eastAsia="Arial" w:hAnsi="Arial"/>
            <w:color w:val="0000ff"/>
            <w:sz w:val="24"/>
            <w:szCs w:val="24"/>
            <w:u w:val="single"/>
            <w:rtl w:val="0"/>
          </w:rPr>
          <w:t xml:space="preserve">10.33448/rsd-v11i8.31425</w:t>
        </w:r>
      </w:hyperlink>
      <w:r w:rsidDel="00000000" w:rsidR="00000000" w:rsidRPr="00000000">
        <w:rPr>
          <w:rtl w:val="0"/>
        </w:rPr>
      </w:r>
    </w:p>
    <w:p w:rsidR="00000000" w:rsidDel="00000000" w:rsidP="00000000" w:rsidRDefault="00000000" w:rsidRPr="00000000" w14:paraId="000000B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4">
      <w:pPr>
        <w:spacing w:after="4" w:line="240" w:lineRule="auto"/>
        <w:ind w:right="1"/>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ROSA-E-SILVA A.C.; DAMÁSIO L.C. </w:t>
      </w:r>
      <w:r w:rsidDel="00000000" w:rsidR="00000000" w:rsidRPr="00000000">
        <w:rPr>
          <w:rFonts w:ascii="Arial" w:cs="Arial" w:eastAsia="Arial" w:hAnsi="Arial"/>
          <w:b w:val="1"/>
          <w:sz w:val="24"/>
          <w:szCs w:val="24"/>
          <w:highlight w:val="white"/>
          <w:rtl w:val="0"/>
        </w:rPr>
        <w:t xml:space="preserve">Conceito, epidemiologia e fisiopatologia aplicada à prática clínica. In: Síndrome dos ovários policísticos.</w:t>
      </w:r>
      <w:r w:rsidDel="00000000" w:rsidR="00000000" w:rsidRPr="00000000">
        <w:rPr>
          <w:rFonts w:ascii="Arial" w:cs="Arial" w:eastAsia="Arial" w:hAnsi="Arial"/>
          <w:sz w:val="24"/>
          <w:szCs w:val="24"/>
          <w:highlight w:val="white"/>
          <w:rtl w:val="0"/>
        </w:rPr>
        <w:t xml:space="preserve"> 3ª ed. São Paulo: Federação Brasileira das Associações de Ginecologia e Obstetrícia (FEBRASGO); 2023. Cap. 1.p.1-19. (Série Orientações e Recomendações FEBRASGO, n.1, Comissão Nacional de Ginecologia Endócrina).</w:t>
      </w:r>
    </w:p>
    <w:p w:rsidR="00000000" w:rsidDel="00000000" w:rsidP="00000000" w:rsidRDefault="00000000" w:rsidRPr="00000000" w14:paraId="000000B5">
      <w:pPr>
        <w:spacing w:after="4" w:line="240" w:lineRule="auto"/>
        <w:ind w:right="1"/>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B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SALLES, L. C.; RIBEIRO, M. L.; COLODETTI, L</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Atualizações na terapêutica </w:t>
      </w:r>
    </w:p>
    <w:p w:rsidR="00000000" w:rsidDel="00000000" w:rsidP="00000000" w:rsidRDefault="00000000" w:rsidRPr="00000000" w14:paraId="000000B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farmacológica para infertilidade na mulher diagnosticada com síndrome de ovários policísticos: revisão de literatura. </w:t>
      </w:r>
      <w:r w:rsidDel="00000000" w:rsidR="00000000" w:rsidRPr="00000000">
        <w:rPr>
          <w:rFonts w:ascii="Arial" w:cs="Arial" w:eastAsia="Arial" w:hAnsi="Arial"/>
          <w:b w:val="1"/>
          <w:sz w:val="24"/>
          <w:szCs w:val="24"/>
          <w:rtl w:val="0"/>
        </w:rPr>
        <w:t xml:space="preserve">Femina</w:t>
      </w:r>
      <w:r w:rsidDel="00000000" w:rsidR="00000000" w:rsidRPr="00000000">
        <w:rPr>
          <w:rFonts w:ascii="Arial" w:cs="Arial" w:eastAsia="Arial" w:hAnsi="Arial"/>
          <w:sz w:val="24"/>
          <w:szCs w:val="24"/>
          <w:rtl w:val="0"/>
        </w:rPr>
        <w:t xml:space="preserve">, v. 49, n 10, p. 636-40, 2021.Disponível em: </w:t>
      </w:r>
    </w:p>
    <w:p w:rsidR="00000000" w:rsidDel="00000000" w:rsidP="00000000" w:rsidRDefault="00000000" w:rsidRPr="00000000" w14:paraId="000000B8">
      <w:pPr>
        <w:spacing w:after="0" w:line="240" w:lineRule="auto"/>
        <w:rPr>
          <w:rFonts w:ascii="Arial" w:cs="Arial" w:eastAsia="Arial" w:hAnsi="Arial"/>
          <w:sz w:val="24"/>
          <w:szCs w:val="24"/>
        </w:rPr>
      </w:pPr>
      <w:hyperlink r:id="rId13">
        <w:r w:rsidDel="00000000" w:rsidR="00000000" w:rsidRPr="00000000">
          <w:rPr>
            <w:rFonts w:ascii="Arial" w:cs="Arial" w:eastAsia="Arial" w:hAnsi="Arial"/>
            <w:color w:val="1155cc"/>
            <w:sz w:val="24"/>
            <w:szCs w:val="24"/>
            <w:u w:val="single"/>
            <w:rtl w:val="0"/>
          </w:rPr>
          <w:t xml:space="preserve">https://www.febrasgo.org.br/pt/femina/item/1213-revista-femina-2021-vol-49-n-01</w:t>
        </w:r>
      </w:hyperlink>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B9">
      <w:pPr>
        <w:spacing w:after="4" w:line="240" w:lineRule="auto"/>
        <w:ind w:right="1"/>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BA">
      <w:pPr>
        <w:spacing w:after="4" w:line="240" w:lineRule="auto"/>
        <w:ind w:right="1"/>
        <w:rPr>
          <w:rFonts w:ascii="Arial" w:cs="Arial" w:eastAsia="Arial" w:hAnsi="Arial"/>
          <w:sz w:val="24"/>
          <w:szCs w:val="24"/>
          <w:highlight w:val="white"/>
        </w:rPr>
      </w:pPr>
      <w:bookmarkStart w:colFirst="0" w:colLast="0" w:name="_heading=h.tyjcwt" w:id="7"/>
      <w:bookmarkEnd w:id="7"/>
      <w:r w:rsidDel="00000000" w:rsidR="00000000" w:rsidRPr="00000000">
        <w:rPr>
          <w:rFonts w:ascii="Arial" w:cs="Arial" w:eastAsia="Arial" w:hAnsi="Arial"/>
          <w:sz w:val="24"/>
          <w:szCs w:val="24"/>
          <w:highlight w:val="white"/>
          <w:rtl w:val="0"/>
        </w:rPr>
        <w:t xml:space="preserve">SILVA; SÁVIA; GUIMARÃES;ZOCATELLY. Efeitos da suplementação de ômega 3 na resistência à insulina em mulheres com síndrome do ovário policístico: revisão sistemática. In: </w:t>
      </w:r>
      <w:r w:rsidDel="00000000" w:rsidR="00000000" w:rsidRPr="00000000">
        <w:rPr>
          <w:rFonts w:ascii="Arial" w:cs="Arial" w:eastAsia="Arial" w:hAnsi="Arial"/>
          <w:b w:val="1"/>
          <w:sz w:val="24"/>
          <w:szCs w:val="24"/>
          <w:highlight w:val="white"/>
          <w:rtl w:val="0"/>
        </w:rPr>
        <w:t xml:space="preserve">HU revista</w:t>
      </w:r>
      <w:r w:rsidDel="00000000" w:rsidR="00000000" w:rsidRPr="00000000">
        <w:rPr>
          <w:rFonts w:ascii="Arial" w:cs="Arial" w:eastAsia="Arial" w:hAnsi="Arial"/>
          <w:sz w:val="24"/>
          <w:szCs w:val="24"/>
          <w:highlight w:val="white"/>
          <w:rtl w:val="0"/>
        </w:rPr>
        <w:t xml:space="preserve">, v. 45, n. 2, p.195-202, 2019. DOI: 10.34019/1982-8047.2019.v45.25798</w:t>
      </w:r>
    </w:p>
    <w:p w:rsidR="00000000" w:rsidDel="00000000" w:rsidP="00000000" w:rsidRDefault="00000000" w:rsidRPr="00000000" w14:paraId="000000BB">
      <w:pPr>
        <w:spacing w:after="4" w:line="240" w:lineRule="auto"/>
        <w:ind w:right="1"/>
        <w:rPr>
          <w:rFonts w:ascii="Arial" w:cs="Arial" w:eastAsia="Arial" w:hAnsi="Arial"/>
          <w:sz w:val="24"/>
          <w:szCs w:val="24"/>
          <w:highlight w:val="white"/>
        </w:rPr>
      </w:pPr>
      <w:bookmarkStart w:colFirst="0" w:colLast="0" w:name="_heading=h.3dy6vkm" w:id="8"/>
      <w:bookmarkEnd w:id="8"/>
      <w:r w:rsidDel="00000000" w:rsidR="00000000" w:rsidRPr="00000000">
        <w:rPr>
          <w:rtl w:val="0"/>
        </w:rPr>
      </w:r>
    </w:p>
    <w:p w:rsidR="00000000" w:rsidDel="00000000" w:rsidP="00000000" w:rsidRDefault="00000000" w:rsidRPr="00000000" w14:paraId="000000BC">
      <w:pPr>
        <w:spacing w:line="240" w:lineRule="auto"/>
        <w:rPr>
          <w:rFonts w:ascii="Arial" w:cs="Arial" w:eastAsia="Arial" w:hAnsi="Arial"/>
          <w:sz w:val="24"/>
          <w:szCs w:val="24"/>
          <w:highlight w:val="white"/>
        </w:rPr>
      </w:pPr>
      <w:r w:rsidDel="00000000" w:rsidR="00000000" w:rsidRPr="00000000">
        <w:rPr>
          <w:rFonts w:ascii="Arial" w:cs="Arial" w:eastAsia="Arial" w:hAnsi="Arial"/>
          <w:sz w:val="24"/>
          <w:szCs w:val="24"/>
          <w:rtl w:val="0"/>
        </w:rPr>
        <w:t xml:space="preserve">SOARES JM, MACIEL GA, BARACAT MC, BARACAT EC. Repercussões metabólicas e uso dos medicamentos sensibilizadores da insulina em mulheres com síndrome dos ovários policísticos. In: </w:t>
      </w:r>
      <w:r w:rsidDel="00000000" w:rsidR="00000000" w:rsidRPr="00000000">
        <w:rPr>
          <w:rFonts w:ascii="Arial" w:cs="Arial" w:eastAsia="Arial" w:hAnsi="Arial"/>
          <w:b w:val="1"/>
          <w:sz w:val="24"/>
          <w:szCs w:val="24"/>
          <w:rtl w:val="0"/>
        </w:rPr>
        <w:t xml:space="preserve">Síndrome dos ovários policísticos</w:t>
      </w:r>
      <w:r w:rsidDel="00000000" w:rsidR="00000000" w:rsidRPr="00000000">
        <w:rPr>
          <w:rFonts w:ascii="Arial" w:cs="Arial" w:eastAsia="Arial" w:hAnsi="Arial"/>
          <w:sz w:val="24"/>
          <w:szCs w:val="24"/>
          <w:rtl w:val="0"/>
        </w:rPr>
        <w:t xml:space="preserve">. São Paulo: Federação Brasileira das Associações de Ginecologia e Obstetrícia (Febrasgo); 2018. Cap. 3. p. 29-39. (Série Orientações e Recomendações Febrasgo, no 4, Comissão Nacional de Ginecologia Endócrina).</w:t>
      </w:r>
      <w:r w:rsidDel="00000000" w:rsidR="00000000" w:rsidRPr="00000000">
        <w:rPr>
          <w:rtl w:val="0"/>
        </w:rPr>
      </w:r>
    </w:p>
    <w:p w:rsidR="00000000" w:rsidDel="00000000" w:rsidP="00000000" w:rsidRDefault="00000000" w:rsidRPr="00000000" w14:paraId="000000B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YELA D. A. Particularidades do diagnóstico e da terapêutica da síndrome dos ovários policísticos na adolescência. In: </w:t>
      </w:r>
      <w:r w:rsidDel="00000000" w:rsidR="00000000" w:rsidRPr="00000000">
        <w:rPr>
          <w:rFonts w:ascii="Arial" w:cs="Arial" w:eastAsia="Arial" w:hAnsi="Arial"/>
          <w:b w:val="1"/>
          <w:sz w:val="24"/>
          <w:szCs w:val="24"/>
          <w:rtl w:val="0"/>
        </w:rPr>
        <w:t xml:space="preserve">Síndrome dos ovários policísticos</w:t>
      </w:r>
      <w:r w:rsidDel="00000000" w:rsidR="00000000" w:rsidRPr="00000000">
        <w:rPr>
          <w:rFonts w:ascii="Arial" w:cs="Arial" w:eastAsia="Arial" w:hAnsi="Arial"/>
          <w:sz w:val="24"/>
          <w:szCs w:val="24"/>
          <w:rtl w:val="0"/>
        </w:rPr>
        <w:t xml:space="preserve">. 3ª ed. São Paulo: Federação Brasileira das Associações de Ginecologia e Obstetrícia (FEBRASGO); 2023. Cap. 2. p. 20-31. (Série Orientações e Recomendações FEBRASGO no 1, Comissão Nacional Especializada em Ginecologia Endócrina).</w:t>
      </w:r>
    </w:p>
    <w:p w:rsidR="00000000" w:rsidDel="00000000" w:rsidP="00000000" w:rsidRDefault="00000000" w:rsidRPr="00000000" w14:paraId="000000B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F">
      <w:pPr>
        <w:spacing w:after="0" w:line="360" w:lineRule="auto"/>
        <w:jc w:val="both"/>
        <w:rPr>
          <w:rFonts w:ascii="Arial" w:cs="Arial" w:eastAsia="Arial" w:hAnsi="Arial"/>
        </w:rPr>
      </w:pPr>
      <w:r w:rsidDel="00000000" w:rsidR="00000000" w:rsidRPr="00000000">
        <w:rPr>
          <w:rtl w:val="0"/>
        </w:rPr>
      </w:r>
    </w:p>
    <w:sectPr>
      <w:headerReference r:id="rId14" w:type="default"/>
      <w:footerReference r:id="rId15" w:type="default"/>
      <w:pgSz w:h="16838" w:w="11906" w:orient="portrait"/>
      <w:pgMar w:bottom="1134" w:top="1701" w:left="1701" w:right="1134" w:header="113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7">
    <w:pPr>
      <w:jc w:val="right"/>
      <w:rPr>
        <w:rFonts w:ascii="Arial" w:cs="Arial" w:eastAsia="Arial" w:hAnsi="Arial"/>
        <w:sz w:val="24"/>
        <w:szCs w:val="24"/>
      </w:rPr>
    </w:pPr>
    <w:r w:rsidDel="00000000" w:rsidR="00000000" w:rsidRPr="00000000">
      <w:rPr>
        <w:rFonts w:ascii="Arial" w:cs="Arial" w:eastAsia="Arial" w:hAnsi="Arial"/>
        <w:sz w:val="24"/>
        <w:szCs w:val="24"/>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C0">
      <w:pPr>
        <w:spacing w:after="0" w:line="240" w:lineRule="auto"/>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vertAlign w:val="superscript"/>
          <w:rtl w:val="0"/>
        </w:rPr>
        <w:t xml:space="preserve"> </w:t>
      </w:r>
      <w:r w:rsidDel="00000000" w:rsidR="00000000" w:rsidRPr="00000000">
        <w:rPr>
          <w:rFonts w:ascii="Arial" w:cs="Arial" w:eastAsia="Arial" w:hAnsi="Arial"/>
          <w:sz w:val="18"/>
          <w:szCs w:val="18"/>
          <w:rtl w:val="0"/>
        </w:rPr>
        <w:t xml:space="preserve">Discente do curso de Nutrição do Centro Universitário UniFTC </w:t>
      </w:r>
      <w:r w:rsidDel="00000000" w:rsidR="00000000" w:rsidRPr="00000000">
        <w:rPr>
          <w:rFonts w:ascii="Arial" w:cs="Arial" w:eastAsia="Arial" w:hAnsi="Arial"/>
          <w:i w:val="1"/>
          <w:sz w:val="18"/>
          <w:szCs w:val="18"/>
          <w:rtl w:val="0"/>
        </w:rPr>
        <w:t xml:space="preserve">E-mail: </w:t>
      </w:r>
      <w:r w:rsidDel="00000000" w:rsidR="00000000" w:rsidRPr="00000000">
        <w:rPr>
          <w:rFonts w:ascii="Arial" w:cs="Arial" w:eastAsia="Arial" w:hAnsi="Arial"/>
          <w:sz w:val="18"/>
          <w:szCs w:val="18"/>
          <w:rtl w:val="0"/>
        </w:rPr>
        <w:t xml:space="preserve">aialuis@hotmail.com</w:t>
      </w:r>
    </w:p>
  </w:footnote>
  <w:footnote w:id="1">
    <w:p w:rsidR="00000000" w:rsidDel="00000000" w:rsidP="00000000" w:rsidRDefault="00000000" w:rsidRPr="00000000" w14:paraId="000000C1">
      <w:pPr>
        <w:spacing w:after="0" w:line="240" w:lineRule="auto"/>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Discente do curso de Enfermagem do Centro Universitário UniFTC </w:t>
      </w:r>
      <w:r w:rsidDel="00000000" w:rsidR="00000000" w:rsidRPr="00000000">
        <w:rPr>
          <w:rFonts w:ascii="Arial" w:cs="Arial" w:eastAsia="Arial" w:hAnsi="Arial"/>
          <w:i w:val="1"/>
          <w:sz w:val="18"/>
          <w:szCs w:val="18"/>
          <w:rtl w:val="0"/>
        </w:rPr>
        <w:t xml:space="preserve">E-mail</w:t>
      </w:r>
      <w:r w:rsidDel="00000000" w:rsidR="00000000" w:rsidRPr="00000000">
        <w:rPr>
          <w:rFonts w:ascii="Arial" w:cs="Arial" w:eastAsia="Arial" w:hAnsi="Arial"/>
          <w:sz w:val="18"/>
          <w:szCs w:val="18"/>
          <w:rtl w:val="0"/>
        </w:rPr>
        <w:t xml:space="preserve">: victoria.silva6@ftc.edu.br</w:t>
      </w:r>
    </w:p>
  </w:footnote>
  <w:footnote w:id="2">
    <w:p w:rsidR="00000000" w:rsidDel="00000000" w:rsidP="00000000" w:rsidRDefault="00000000" w:rsidRPr="00000000" w14:paraId="000000C2">
      <w:pPr>
        <w:spacing w:after="0" w:line="240" w:lineRule="auto"/>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Discente do curso de Farmácia do Centro Universitário UniFTC </w:t>
      </w:r>
      <w:r w:rsidDel="00000000" w:rsidR="00000000" w:rsidRPr="00000000">
        <w:rPr>
          <w:rFonts w:ascii="Arial" w:cs="Arial" w:eastAsia="Arial" w:hAnsi="Arial"/>
          <w:i w:val="1"/>
          <w:sz w:val="18"/>
          <w:szCs w:val="18"/>
          <w:rtl w:val="0"/>
        </w:rPr>
        <w:t xml:space="preserve">E-mail: </w:t>
      </w:r>
      <w:r w:rsidDel="00000000" w:rsidR="00000000" w:rsidRPr="00000000">
        <w:rPr>
          <w:rFonts w:ascii="Arial" w:cs="Arial" w:eastAsia="Arial" w:hAnsi="Arial"/>
          <w:sz w:val="18"/>
          <w:szCs w:val="18"/>
          <w:rtl w:val="0"/>
        </w:rPr>
        <w:t xml:space="preserve"> dandaratavares.12@gmail.com</w:t>
      </w:r>
    </w:p>
  </w:footnote>
  <w:footnote w:id="3">
    <w:p w:rsidR="00000000" w:rsidDel="00000000" w:rsidP="00000000" w:rsidRDefault="00000000" w:rsidRPr="00000000" w14:paraId="000000C3">
      <w:pPr>
        <w:spacing w:after="0" w:line="240" w:lineRule="auto"/>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Discente do curso de Farmácia do Centro Universitário UniFTC </w:t>
      </w:r>
      <w:r w:rsidDel="00000000" w:rsidR="00000000" w:rsidRPr="00000000">
        <w:rPr>
          <w:rFonts w:ascii="Arial" w:cs="Arial" w:eastAsia="Arial" w:hAnsi="Arial"/>
          <w:i w:val="1"/>
          <w:sz w:val="18"/>
          <w:szCs w:val="18"/>
          <w:rtl w:val="0"/>
        </w:rPr>
        <w:t xml:space="preserve">E-mail</w:t>
      </w:r>
      <w:r w:rsidDel="00000000" w:rsidR="00000000" w:rsidRPr="00000000">
        <w:rPr>
          <w:rFonts w:ascii="Arial" w:cs="Arial" w:eastAsia="Arial" w:hAnsi="Arial"/>
          <w:sz w:val="18"/>
          <w:szCs w:val="18"/>
          <w:rtl w:val="0"/>
        </w:rPr>
        <w:t xml:space="preserve">: karen_lariza@hotmail.com</w:t>
      </w:r>
    </w:p>
  </w:footnote>
  <w:footnote w:id="4">
    <w:p w:rsidR="00000000" w:rsidDel="00000000" w:rsidP="00000000" w:rsidRDefault="00000000" w:rsidRPr="00000000" w14:paraId="000000C4">
      <w:pPr>
        <w:spacing w:after="0" w:line="240" w:lineRule="auto"/>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Discente do curso de Nutrição  do Centro Universitário UniFTC E-mail: vigabriellesilva@gmail.com</w:t>
      </w:r>
    </w:p>
  </w:footnote>
  <w:footnote w:id="5">
    <w:p w:rsidR="00000000" w:rsidDel="00000000" w:rsidP="00000000" w:rsidRDefault="00000000" w:rsidRPr="00000000" w14:paraId="000000C5">
      <w:pPr>
        <w:spacing w:after="0" w:line="240" w:lineRule="auto"/>
        <w:rPr>
          <w:rFonts w:ascii="Arial" w:cs="Arial" w:eastAsia="Arial" w:hAnsi="Arial"/>
          <w:sz w:val="18"/>
          <w:szCs w:val="18"/>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Docente do Centro Universitário UniFTC </w:t>
      </w:r>
      <w:r w:rsidDel="00000000" w:rsidR="00000000" w:rsidRPr="00000000">
        <w:rPr>
          <w:rFonts w:ascii="Arial" w:cs="Arial" w:eastAsia="Arial" w:hAnsi="Arial"/>
          <w:i w:val="1"/>
          <w:sz w:val="18"/>
          <w:szCs w:val="18"/>
          <w:rtl w:val="0"/>
        </w:rPr>
        <w:t xml:space="preserve">E-mail: </w:t>
      </w:r>
      <w:r w:rsidDel="00000000" w:rsidR="00000000" w:rsidRPr="00000000">
        <w:rPr>
          <w:rFonts w:ascii="Arial" w:cs="Arial" w:eastAsia="Arial" w:hAnsi="Arial"/>
          <w:sz w:val="18"/>
          <w:szCs w:val="18"/>
          <w:rtl w:val="0"/>
        </w:rPr>
        <w:t xml:space="preserve">jarlon.costa@ftc.edu.br</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360" w:lineRule="auto"/>
      <w:jc w:val="both"/>
    </w:pPr>
    <w:rPr>
      <w:rFonts w:ascii="Arial" w:cs="Arial" w:eastAsia="Arial" w:hAnsi="Arial"/>
      <w:b w:val="1"/>
      <w:sz w:val="24"/>
      <w:szCs w:val="24"/>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360" w:lineRule="auto"/>
      <w:jc w:val="both"/>
    </w:pPr>
    <w:rPr>
      <w:rFonts w:ascii="Arial" w:cs="Arial" w:eastAsia="Arial" w:hAnsi="Arial"/>
      <w:b w:val="1"/>
      <w:sz w:val="24"/>
      <w:szCs w:val="24"/>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pubmed.ncbi.nlm.nih.gov/34814919/" TargetMode="External"/><Relationship Id="rId10" Type="http://schemas.openxmlformats.org/officeDocument/2006/relationships/hyperlink" Target="http://publicacoesacademicas.unicatolicaquixada.edu.br/index.php/eedic/article/view/3865" TargetMode="External"/><Relationship Id="rId13" Type="http://schemas.openxmlformats.org/officeDocument/2006/relationships/hyperlink" Target="https://www.febrasgo.org.br/pt/femina/item/1213-revista-femina-2021-vol-49-n-01" TargetMode="External"/><Relationship Id="rId12" Type="http://schemas.openxmlformats.org/officeDocument/2006/relationships/hyperlink" Target="http://dx.doi.org/10.33448/rsd-v11i8.3142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repositorio.unifaema.edu.br/bitstream/123456789/2556/1/tcc%20jeane%20word-convertido_assinado_assinado_assinado%20por%20todas.pdf"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Igx46gZEWbmXbSqVTsoJUEBboQ==">CgMxLjAyCGguZ2pkZ3hzMgloLjMwajB6bGwyCWguMWZvYjl0ZTIOaC5xZzF2MzFlNHJ4OW0yDmguZHNnMDVsanNicW1wMgloLjN6bnlzaDcyCWguMmV0OTJwMDIIaC50eWpjd3QyCWguM2R5NnZrbTgAciExVEY4Yy1faHhUUG50WXZVSF9tUU5sVG5BZm5CR2s5ZzQ=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